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2348A" w14:textId="768685F8" w:rsidR="0023705D"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BC7295">
        <w:rPr>
          <w:b/>
          <w:noProof/>
          <w:sz w:val="24"/>
        </w:rPr>
        <w:t>4</w:t>
      </w:r>
      <w:r w:rsidR="00501F62">
        <w:rPr>
          <w:b/>
          <w:noProof/>
          <w:sz w:val="24"/>
        </w:rPr>
        <w:t>-</w:t>
      </w:r>
      <w:r w:rsidR="00572E8E">
        <w:rPr>
          <w:b/>
          <w:noProof/>
          <w:sz w:val="24"/>
        </w:rPr>
        <w:t>bis-</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0023705D">
        <w:rPr>
          <w:b/>
          <w:noProof/>
          <w:sz w:val="24"/>
        </w:rPr>
        <w:tab/>
      </w:r>
      <w:r w:rsidR="00E47656" w:rsidRPr="00E47656">
        <w:rPr>
          <w:b/>
          <w:noProof/>
          <w:sz w:val="24"/>
        </w:rPr>
        <w:t>R4-2216639</w:t>
      </w:r>
    </w:p>
    <w:p w14:paraId="730545E8" w14:textId="11047DFE" w:rsidR="001F6272" w:rsidRPr="006B30DF" w:rsidRDefault="00501F62" w:rsidP="00C43133">
      <w:pPr>
        <w:pStyle w:val="CRCoverPage"/>
        <w:outlineLvl w:val="0"/>
        <w:rPr>
          <w:b/>
          <w:noProof/>
          <w:sz w:val="24"/>
          <w:lang w:val="en-US"/>
        </w:rPr>
      </w:pPr>
      <w:r w:rsidRPr="00C65EE2">
        <w:rPr>
          <w:b/>
          <w:noProof/>
          <w:sz w:val="24"/>
        </w:rPr>
        <w:t xml:space="preserve">Electronic Meeting, </w:t>
      </w:r>
      <w:r w:rsidR="00BC7295">
        <w:rPr>
          <w:b/>
          <w:noProof/>
          <w:sz w:val="24"/>
        </w:rPr>
        <w:t>1</w:t>
      </w:r>
      <w:r w:rsidR="00572E8E">
        <w:rPr>
          <w:b/>
          <w:noProof/>
          <w:sz w:val="24"/>
        </w:rPr>
        <w:t>0</w:t>
      </w:r>
      <w:r w:rsidR="000543E5" w:rsidRPr="000543E5">
        <w:rPr>
          <w:b/>
          <w:noProof/>
          <w:sz w:val="24"/>
          <w:vertAlign w:val="superscript"/>
        </w:rPr>
        <w:t>th</w:t>
      </w:r>
      <w:r w:rsidR="000543E5">
        <w:rPr>
          <w:b/>
          <w:noProof/>
          <w:sz w:val="24"/>
        </w:rPr>
        <w:t xml:space="preserve"> </w:t>
      </w:r>
      <w:r>
        <w:rPr>
          <w:b/>
          <w:noProof/>
          <w:sz w:val="24"/>
        </w:rPr>
        <w:t xml:space="preserve"> </w:t>
      </w:r>
      <w:r w:rsidRPr="00C65EE2">
        <w:rPr>
          <w:b/>
          <w:noProof/>
          <w:sz w:val="24"/>
        </w:rPr>
        <w:t>–</w:t>
      </w:r>
      <w:r w:rsidR="00572E8E">
        <w:rPr>
          <w:b/>
          <w:noProof/>
          <w:sz w:val="24"/>
        </w:rPr>
        <w:t>19</w:t>
      </w:r>
      <w:r w:rsidR="0049081B" w:rsidRPr="0049081B">
        <w:rPr>
          <w:b/>
          <w:noProof/>
          <w:sz w:val="24"/>
          <w:vertAlign w:val="superscript"/>
        </w:rPr>
        <w:t>th</w:t>
      </w:r>
      <w:r w:rsidR="0049081B">
        <w:rPr>
          <w:b/>
          <w:noProof/>
          <w:sz w:val="24"/>
        </w:rPr>
        <w:t xml:space="preserve"> </w:t>
      </w:r>
      <w:r w:rsidR="00572E8E">
        <w:rPr>
          <w:b/>
          <w:noProof/>
          <w:sz w:val="24"/>
        </w:rPr>
        <w:t>October</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EBA6981"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9C7DF2">
        <w:rPr>
          <w:rFonts w:cs="Arial"/>
          <w:sz w:val="22"/>
          <w:szCs w:val="22"/>
          <w:lang w:val="en-US"/>
        </w:rPr>
        <w:t xml:space="preserve">RF scope discussion in Rel-18 NR </w:t>
      </w:r>
      <w:proofErr w:type="spellStart"/>
      <w:r w:rsidR="009C7DF2">
        <w:rPr>
          <w:rFonts w:cs="Arial"/>
          <w:sz w:val="22"/>
          <w:szCs w:val="22"/>
          <w:lang w:val="en-US"/>
        </w:rPr>
        <w:t>Cov-Enh</w:t>
      </w:r>
      <w:proofErr w:type="spellEnd"/>
    </w:p>
    <w:p w14:paraId="51BD89B7" w14:textId="6898075D" w:rsidR="001F6272" w:rsidRPr="00DA4CAB" w:rsidRDefault="001F6272" w:rsidP="001F6272">
      <w:pPr>
        <w:spacing w:after="0"/>
        <w:rPr>
          <w:rFonts w:cs="Arial"/>
          <w:sz w:val="22"/>
          <w:szCs w:val="22"/>
          <w:lang w:val="en-US"/>
        </w:rPr>
      </w:pPr>
      <w:r w:rsidRPr="00DA4CAB">
        <w:rPr>
          <w:rFonts w:cs="Arial"/>
          <w:b/>
          <w:sz w:val="22"/>
          <w:szCs w:val="22"/>
          <w:lang w:val="en-US"/>
        </w:rPr>
        <w:t>Agenda item:</w:t>
      </w:r>
      <w:r w:rsidRPr="00DA4CAB">
        <w:rPr>
          <w:rFonts w:cs="Arial"/>
          <w:sz w:val="22"/>
          <w:szCs w:val="22"/>
          <w:lang w:val="en-US"/>
        </w:rPr>
        <w:tab/>
      </w:r>
      <w:r w:rsidRPr="00DA4CAB">
        <w:rPr>
          <w:rFonts w:cs="Arial"/>
          <w:sz w:val="22"/>
          <w:szCs w:val="22"/>
          <w:lang w:val="en-US"/>
        </w:rPr>
        <w:tab/>
      </w:r>
      <w:r w:rsidR="0023705D">
        <w:rPr>
          <w:rFonts w:cs="Arial"/>
          <w:sz w:val="22"/>
          <w:szCs w:val="22"/>
          <w:lang w:val="en-US"/>
        </w:rPr>
        <w:t>6.23.3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E5A5295" w14:textId="77777777" w:rsidR="00CD2D42" w:rsidRPr="006E062B" w:rsidRDefault="00CD2D42" w:rsidP="00CD2D42">
      <w:pPr>
        <w:pStyle w:val="BodyText"/>
        <w:spacing w:after="180"/>
      </w:pPr>
      <w:r>
        <w:t xml:space="preserve">The </w:t>
      </w:r>
      <w:r w:rsidRPr="006E062B">
        <w:t>Rel-1</w:t>
      </w:r>
      <w:r>
        <w:t>8</w:t>
      </w:r>
      <w:r w:rsidRPr="006E062B">
        <w:t xml:space="preserve"> </w:t>
      </w:r>
      <w:r>
        <w:t>work on f</w:t>
      </w:r>
      <w:r w:rsidRPr="00EC47A4">
        <w:t>urther NR coverage enhancements</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t xml:space="preserve"> includes study for power domain enhancements of UE transmissions</w:t>
      </w:r>
      <w:r w:rsidRPr="006E062B">
        <w:t>:</w:t>
      </w:r>
      <w:r>
        <w:t xml:space="preserve"> </w:t>
      </w:r>
    </w:p>
    <w:p w14:paraId="7A1F07A0" w14:textId="77777777" w:rsidR="00CD2D42" w:rsidRPr="006E062B" w:rsidRDefault="00CD2D42" w:rsidP="00CD2D42">
      <w:pPr>
        <w:pStyle w:val="BodyText"/>
      </w:pPr>
      <w:r w:rsidRPr="006E062B">
        <w:rPr>
          <w:noProof/>
        </w:rPr>
        <mc:AlternateContent>
          <mc:Choice Requires="wps">
            <w:drawing>
              <wp:inline distT="0" distB="0" distL="0" distR="0" wp14:anchorId="76BBC9D0" wp14:editId="1D3A2DB2">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1CECDBD" w14:textId="77777777" w:rsidR="00CD2D42" w:rsidRPr="00EC47A4" w:rsidRDefault="00CD2D42" w:rsidP="00CD2D42">
                            <w:pPr>
                              <w:numPr>
                                <w:ilvl w:val="0"/>
                                <w:numId w:val="29"/>
                              </w:numPr>
                              <w:overflowPunct w:val="0"/>
                              <w:autoSpaceDE w:val="0"/>
                              <w:autoSpaceDN w:val="0"/>
                              <w:adjustRightInd w:val="0"/>
                              <w:spacing w:after="0" w:line="276" w:lineRule="auto"/>
                              <w:ind w:hanging="357"/>
                              <w:jc w:val="both"/>
                              <w:textAlignment w:val="baseline"/>
                              <w:rPr>
                                <w:lang w:eastAsia="zh-CN"/>
                              </w:rPr>
                            </w:pPr>
                            <w:r w:rsidRPr="00EC47A4">
                              <w:rPr>
                                <w:lang w:eastAsia="zh-CN"/>
                              </w:rPr>
                              <w:t xml:space="preserve">Study and if </w:t>
                            </w:r>
                            <w:proofErr w:type="gramStart"/>
                            <w:r w:rsidRPr="00EC47A4">
                              <w:rPr>
                                <w:lang w:eastAsia="zh-CN"/>
                              </w:rPr>
                              <w:t>necessary</w:t>
                            </w:r>
                            <w:proofErr w:type="gramEnd"/>
                            <w:r w:rsidRPr="00EC47A4">
                              <w:rPr>
                                <w:lang w:eastAsia="zh-CN"/>
                              </w:rPr>
                              <w:t xml:space="preserve"> specify following power domain enhancements</w:t>
                            </w:r>
                          </w:p>
                          <w:p w14:paraId="15B79218" w14:textId="77777777" w:rsidR="00CD2D42" w:rsidRPr="00EC47A4" w:rsidRDefault="00CD2D42" w:rsidP="00CD2D42">
                            <w:pPr>
                              <w:numPr>
                                <w:ilvl w:val="1"/>
                                <w:numId w:val="29"/>
                              </w:numPr>
                              <w:overflowPunct w:val="0"/>
                              <w:autoSpaceDE w:val="0"/>
                              <w:autoSpaceDN w:val="0"/>
                              <w:adjustRightInd w:val="0"/>
                              <w:spacing w:after="0" w:line="276" w:lineRule="auto"/>
                              <w:jc w:val="both"/>
                              <w:textAlignment w:val="baseline"/>
                              <w:rPr>
                                <w:rFonts w:eastAsia="Yu Mincho"/>
                                <w:iCs/>
                                <w:lang w:eastAsia="en-GB"/>
                              </w:rPr>
                            </w:pPr>
                            <w:r w:rsidRPr="00EC47A4">
                              <w:rPr>
                                <w:rFonts w:eastAsia="Yu Mincho"/>
                                <w:iCs/>
                                <w:lang w:eastAsia="en-GB"/>
                              </w:rPr>
                              <w:t xml:space="preserve">Enhancements to realize </w:t>
                            </w:r>
                            <w:r w:rsidRPr="00EC47A4">
                              <w:rPr>
                                <w:rFonts w:hint="eastAsia"/>
                                <w:iCs/>
                                <w:lang w:eastAsia="zh-CN"/>
                              </w:rPr>
                              <w:t>i</w:t>
                            </w:r>
                            <w:r w:rsidRPr="00EC47A4">
                              <w:rPr>
                                <w:rFonts w:eastAsia="Yu Mincho"/>
                                <w:iCs/>
                                <w:lang w:eastAsia="en-GB"/>
                              </w:rPr>
                              <w:t xml:space="preserve">ncreasing UE power high limit for CA and DC based on Rel-17 RAN4 work on “Increasing UE power high limit for CA and DC”, </w:t>
                            </w:r>
                            <w:r w:rsidRPr="00EC47A4">
                              <w:rPr>
                                <w:rFonts w:hint="eastAsia"/>
                                <w:iCs/>
                                <w:lang w:eastAsia="zh-CN"/>
                              </w:rPr>
                              <w:t xml:space="preserve">in compliance with </w:t>
                            </w:r>
                            <w:r w:rsidRPr="00EC47A4">
                              <w:rPr>
                                <w:rFonts w:eastAsia="Yu Mincho"/>
                                <w:iCs/>
                                <w:lang w:eastAsia="en-GB"/>
                              </w:rPr>
                              <w:t>relevant regulations (RAN4, RAN1)</w:t>
                            </w:r>
                          </w:p>
                          <w:p w14:paraId="3E6C72AB" w14:textId="77777777" w:rsidR="00CD2D42" w:rsidRPr="00EC47A4" w:rsidRDefault="00CD2D42" w:rsidP="00CD2D42">
                            <w:pPr>
                              <w:numPr>
                                <w:ilvl w:val="1"/>
                                <w:numId w:val="29"/>
                              </w:numPr>
                              <w:overflowPunct w:val="0"/>
                              <w:autoSpaceDE w:val="0"/>
                              <w:autoSpaceDN w:val="0"/>
                              <w:adjustRightInd w:val="0"/>
                              <w:spacing w:after="0" w:line="276" w:lineRule="auto"/>
                              <w:jc w:val="both"/>
                              <w:textAlignment w:val="baseline"/>
                              <w:rPr>
                                <w:rFonts w:eastAsia="Yu Mincho"/>
                                <w:iCs/>
                                <w:lang w:eastAsia="en-GB"/>
                              </w:rPr>
                            </w:pPr>
                            <w:r w:rsidRPr="00EC47A4">
                              <w:rPr>
                                <w:rFonts w:eastAsia="Yu Mincho"/>
                                <w:iCs/>
                                <w:lang w:eastAsia="en-GB"/>
                              </w:rPr>
                              <w:t xml:space="preserve">Enhancements to reduce MPR/PAR, including </w:t>
                            </w:r>
                            <w:r w:rsidRPr="00EC47A4">
                              <w:rPr>
                                <w:rFonts w:hint="eastAsia"/>
                                <w:iCs/>
                                <w:lang w:eastAsia="zh-CN"/>
                              </w:rPr>
                              <w:t xml:space="preserve">frequency domain </w:t>
                            </w:r>
                            <w:r w:rsidRPr="00EC47A4">
                              <w:rPr>
                                <w:rFonts w:eastAsia="Yu Mincho"/>
                                <w:iCs/>
                                <w:lang w:eastAsia="en-GB"/>
                              </w:rPr>
                              <w:t>spectrum shaping</w:t>
                            </w:r>
                            <w:r w:rsidRPr="00EC47A4">
                              <w:rPr>
                                <w:rFonts w:eastAsia="Yu Mincho"/>
                                <w:lang w:eastAsia="en-GB"/>
                              </w:rPr>
                              <w:t xml:space="preserve"> </w:t>
                            </w:r>
                            <w:r w:rsidRPr="00EC47A4">
                              <w:rPr>
                                <w:rFonts w:eastAsia="Yu Mincho"/>
                                <w:iCs/>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xmlns:oel="http://schemas.microsoft.com/office/2019/extlst">
            <w:pict>
              <v:shapetype w14:anchorId="76BBC9D0"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21CECDBD" w14:textId="77777777" w:rsidR="00CD2D42" w:rsidRPr="00EC47A4" w:rsidRDefault="00CD2D42" w:rsidP="00CD2D42">
                      <w:pPr>
                        <w:numPr>
                          <w:ilvl w:val="0"/>
                          <w:numId w:val="29"/>
                        </w:numPr>
                        <w:overflowPunct w:val="0"/>
                        <w:autoSpaceDE w:val="0"/>
                        <w:autoSpaceDN w:val="0"/>
                        <w:adjustRightInd w:val="0"/>
                        <w:spacing w:after="0" w:line="276" w:lineRule="auto"/>
                        <w:ind w:hanging="357"/>
                        <w:jc w:val="both"/>
                        <w:textAlignment w:val="baseline"/>
                        <w:rPr>
                          <w:lang w:eastAsia="zh-CN"/>
                        </w:rPr>
                      </w:pPr>
                      <w:r w:rsidRPr="00EC47A4">
                        <w:rPr>
                          <w:lang w:eastAsia="zh-CN"/>
                        </w:rPr>
                        <w:t>Study and if necessary specify following power domain enhancements</w:t>
                      </w:r>
                    </w:p>
                    <w:p w14:paraId="15B79218" w14:textId="77777777" w:rsidR="00CD2D42" w:rsidRPr="00EC47A4" w:rsidRDefault="00CD2D42" w:rsidP="00CD2D42">
                      <w:pPr>
                        <w:numPr>
                          <w:ilvl w:val="1"/>
                          <w:numId w:val="29"/>
                        </w:numPr>
                        <w:overflowPunct w:val="0"/>
                        <w:autoSpaceDE w:val="0"/>
                        <w:autoSpaceDN w:val="0"/>
                        <w:adjustRightInd w:val="0"/>
                        <w:spacing w:after="0" w:line="276" w:lineRule="auto"/>
                        <w:jc w:val="both"/>
                        <w:textAlignment w:val="baseline"/>
                        <w:rPr>
                          <w:rFonts w:eastAsia="Yu Mincho"/>
                          <w:iCs/>
                          <w:lang w:eastAsia="en-GB"/>
                        </w:rPr>
                      </w:pPr>
                      <w:r w:rsidRPr="00EC47A4">
                        <w:rPr>
                          <w:rFonts w:eastAsia="Yu Mincho"/>
                          <w:iCs/>
                          <w:lang w:eastAsia="en-GB"/>
                        </w:rPr>
                        <w:t xml:space="preserve">Enhancements to realize </w:t>
                      </w:r>
                      <w:r w:rsidRPr="00EC47A4">
                        <w:rPr>
                          <w:rFonts w:hint="eastAsia"/>
                          <w:iCs/>
                          <w:lang w:eastAsia="zh-CN"/>
                        </w:rPr>
                        <w:t>i</w:t>
                      </w:r>
                      <w:r w:rsidRPr="00EC47A4">
                        <w:rPr>
                          <w:rFonts w:eastAsia="Yu Mincho"/>
                          <w:iCs/>
                          <w:lang w:eastAsia="en-GB"/>
                        </w:rPr>
                        <w:t xml:space="preserve">ncreasing UE power high limit for CA and DC based on Rel-17 RAN4 work on “Increasing UE power high limit for CA and DC”, </w:t>
                      </w:r>
                      <w:r w:rsidRPr="00EC47A4">
                        <w:rPr>
                          <w:rFonts w:hint="eastAsia"/>
                          <w:iCs/>
                          <w:lang w:eastAsia="zh-CN"/>
                        </w:rPr>
                        <w:t xml:space="preserve">in compliance with </w:t>
                      </w:r>
                      <w:r w:rsidRPr="00EC47A4">
                        <w:rPr>
                          <w:rFonts w:eastAsia="Yu Mincho"/>
                          <w:iCs/>
                          <w:lang w:eastAsia="en-GB"/>
                        </w:rPr>
                        <w:t>relevant regulations (RAN4, RAN1)</w:t>
                      </w:r>
                    </w:p>
                    <w:p w14:paraId="3E6C72AB" w14:textId="77777777" w:rsidR="00CD2D42" w:rsidRPr="00EC47A4" w:rsidRDefault="00CD2D42" w:rsidP="00CD2D42">
                      <w:pPr>
                        <w:numPr>
                          <w:ilvl w:val="1"/>
                          <w:numId w:val="29"/>
                        </w:numPr>
                        <w:overflowPunct w:val="0"/>
                        <w:autoSpaceDE w:val="0"/>
                        <w:autoSpaceDN w:val="0"/>
                        <w:adjustRightInd w:val="0"/>
                        <w:spacing w:after="0" w:line="276" w:lineRule="auto"/>
                        <w:jc w:val="both"/>
                        <w:textAlignment w:val="baseline"/>
                        <w:rPr>
                          <w:rFonts w:eastAsia="Yu Mincho"/>
                          <w:iCs/>
                          <w:lang w:eastAsia="en-GB"/>
                        </w:rPr>
                      </w:pPr>
                      <w:r w:rsidRPr="00EC47A4">
                        <w:rPr>
                          <w:rFonts w:eastAsia="Yu Mincho"/>
                          <w:iCs/>
                          <w:lang w:eastAsia="en-GB"/>
                        </w:rPr>
                        <w:t xml:space="preserve">Enhancements to reduce MPR/PAR, including </w:t>
                      </w:r>
                      <w:r w:rsidRPr="00EC47A4">
                        <w:rPr>
                          <w:rFonts w:hint="eastAsia"/>
                          <w:iCs/>
                          <w:lang w:eastAsia="zh-CN"/>
                        </w:rPr>
                        <w:t xml:space="preserve">frequency domain </w:t>
                      </w:r>
                      <w:r w:rsidRPr="00EC47A4">
                        <w:rPr>
                          <w:rFonts w:eastAsia="Yu Mincho"/>
                          <w:iCs/>
                          <w:lang w:eastAsia="en-GB"/>
                        </w:rPr>
                        <w:t>spectrum shaping</w:t>
                      </w:r>
                      <w:r w:rsidRPr="00EC47A4">
                        <w:rPr>
                          <w:rFonts w:eastAsia="Yu Mincho"/>
                          <w:lang w:eastAsia="en-GB"/>
                        </w:rPr>
                        <w:t xml:space="preserve"> </w:t>
                      </w:r>
                      <w:r w:rsidRPr="00EC47A4">
                        <w:rPr>
                          <w:rFonts w:eastAsia="Yu Mincho"/>
                          <w:iCs/>
                          <w:lang w:eastAsia="en-GB"/>
                        </w:rPr>
                        <w:t>with and without spectrum extension for DFT-S-OFDM and tone reservation (RAN4, RAN1)</w:t>
                      </w:r>
                    </w:p>
                  </w:txbxContent>
                </v:textbox>
                <w10:anchorlock/>
              </v:shape>
            </w:pict>
          </mc:Fallback>
        </mc:AlternateContent>
      </w:r>
    </w:p>
    <w:p w14:paraId="13747BBD" w14:textId="6A8A8F63" w:rsidR="00CD2D42" w:rsidRPr="009C415B" w:rsidRDefault="00CD2D42" w:rsidP="00CD2D42">
      <w:pPr>
        <w:pStyle w:val="BodyText"/>
        <w:spacing w:before="60"/>
        <w:rPr>
          <w:color w:val="ED7D31" w:themeColor="accent2"/>
        </w:rPr>
      </w:pPr>
      <w:r w:rsidRPr="009C415B">
        <w:t xml:space="preserve">In this contribution, we consider </w:t>
      </w:r>
      <w:r w:rsidR="00783765">
        <w:t xml:space="preserve">RAN4 RF scope of this </w:t>
      </w:r>
      <w:r w:rsidR="00EC33EE">
        <w:t>objective</w:t>
      </w:r>
      <w:r w:rsidRPr="009C415B">
        <w:t xml:space="preserve">.  </w:t>
      </w:r>
    </w:p>
    <w:p w14:paraId="51BE1BFC" w14:textId="58604A3E" w:rsidR="00680BEC" w:rsidRDefault="00DC670C" w:rsidP="008B3B96">
      <w:pPr>
        <w:pStyle w:val="Heading1"/>
      </w:pPr>
      <w:r w:rsidRPr="00F102E6">
        <w:t>Discussion</w:t>
      </w:r>
    </w:p>
    <w:p w14:paraId="65304F7E" w14:textId="2F8BFBBB" w:rsidR="00FE1461" w:rsidRDefault="00FE1461" w:rsidP="00FE1461">
      <w:pPr>
        <w:pStyle w:val="Heading2"/>
      </w:pPr>
      <w:r>
        <w:t>Enhancement</w:t>
      </w:r>
      <w:r w:rsidR="0094351F">
        <w:t>s</w:t>
      </w:r>
      <w:r>
        <w:t xml:space="preserve"> to reduce MPR/PAR</w:t>
      </w:r>
    </w:p>
    <w:p w14:paraId="27FF3A88" w14:textId="180B7D52" w:rsidR="00B57367" w:rsidRDefault="00B57367" w:rsidP="00B57367">
      <w:r>
        <w:t xml:space="preserve">A wide variety of schemes to reduce PAPR for a given waveform exist </w:t>
      </w:r>
      <w:r w:rsidR="00AD74F7">
        <w:fldChar w:fldCharType="begin"/>
      </w:r>
      <w:r w:rsidR="00AD74F7">
        <w:instrText xml:space="preserve"> REF _Ref115362883 \r \h </w:instrText>
      </w:r>
      <w:r w:rsidR="00AD74F7">
        <w:fldChar w:fldCharType="separate"/>
      </w:r>
      <w:r w:rsidR="00AD74F7">
        <w:t>[2]</w:t>
      </w:r>
      <w:r w:rsidR="00AD74F7">
        <w:fldChar w:fldCharType="end"/>
      </w:r>
      <w:r>
        <w:t xml:space="preserve">.  They can be broadly classified into schemes that are transparent to the receiver, and those that are not.  Transparent schemes reduce the signal peaks by introducing a limited amount of distortion such that the receiver can process the signal assuming it was transmitted in an undistorted way, or they may </w:t>
      </w:r>
      <w:proofErr w:type="spellStart"/>
      <w:r>
        <w:t>predistort</w:t>
      </w:r>
      <w:proofErr w:type="spellEnd"/>
      <w:r>
        <w:t xml:space="preserve"> the signal to compensate for non-linearity in the PA.  Non-transparent schemes modify the signal in some way that should be accounted for in the network, such as transmitting peak reduction signals in additional frequency domain resources, using heavy frequency and/or time domain shaping that the receiver should be aware of to maintain performance, etc. </w:t>
      </w:r>
    </w:p>
    <w:p w14:paraId="057533C6" w14:textId="77777777" w:rsidR="00B57367" w:rsidRDefault="00B57367" w:rsidP="00B57367">
      <w:r>
        <w:t xml:space="preserve">Because they do not use additional resources, one key feature of transparent MPR reduction schemes is that they can generally be accomplished by UE implementation.  Using UE implementation avoids the need to reconfigure or dynamically control the PAPR reduction scheme, allowing the UE to quickly adapt </w:t>
      </w:r>
      <w:proofErr w:type="gramStart"/>
      <w:r>
        <w:t>its</w:t>
      </w:r>
      <w:proofErr w:type="gramEnd"/>
      <w:r>
        <w:t xml:space="preserve"> transmit power to channel conditions. Perhaps more importantly, transparent MPR reduction can immediately improve UE PA efficiency and/or network coverage as soon as the feature is available in a UE, avoiding the need to upgrade all gNBs in a coverage area </w:t>
      </w:r>
      <w:proofErr w:type="gramStart"/>
      <w:r>
        <w:t>in order to</w:t>
      </w:r>
      <w:proofErr w:type="gramEnd"/>
      <w:r>
        <w:t xml:space="preserve"> benefit from MPR reduction throughout the area.</w:t>
      </w:r>
    </w:p>
    <w:p w14:paraId="7C4FE787" w14:textId="77777777" w:rsidR="00B57367" w:rsidRDefault="00B57367" w:rsidP="00B57367">
      <w:r>
        <w:t xml:space="preserve">On the other hand, because non-transparent schemes have more degrees of freedom in their designs, they are </w:t>
      </w:r>
      <w:proofErr w:type="gramStart"/>
      <w:r>
        <w:t>more free</w:t>
      </w:r>
      <w:proofErr w:type="gramEnd"/>
      <w:r>
        <w:t xml:space="preserve"> to modify the signal.  The motivation for such signal modifications is then that there is improved MPR reduction over what is possible with a non-transparent scheme. Transparent MPR reduction schemes therefore can be seen as a baseline from which more advanced schemes can potentially build.  </w:t>
      </w:r>
    </w:p>
    <w:p w14:paraId="20721384" w14:textId="6EB82473" w:rsidR="00B57367" w:rsidRDefault="00B57367" w:rsidP="0023705D">
      <w:pPr>
        <w:pStyle w:val="Observation"/>
      </w:pPr>
      <w:bookmarkStart w:id="0" w:name="_Ref115438912"/>
      <w:r>
        <w:t>Transparent MPR reduction schemes allow immediate improvements in UE PA efficiency and/or network coverage, rather than waiting for the network to be upgraded to support a non-transparent scheme.</w:t>
      </w:r>
      <w:bookmarkEnd w:id="0"/>
      <w:r>
        <w:t xml:space="preserve"> </w:t>
      </w:r>
    </w:p>
    <w:p w14:paraId="536370F7" w14:textId="569E2390" w:rsidR="00B57367" w:rsidRDefault="00B57367" w:rsidP="0023705D">
      <w:pPr>
        <w:pStyle w:val="Observation"/>
      </w:pPr>
      <w:bookmarkStart w:id="1" w:name="_Ref115438925"/>
      <w:r>
        <w:t>Transparent MPR reduction schemes allow flexible UE implementation, where the UE can dynamically adapt to power requirements and/or channel conditions, without intervention by the network.</w:t>
      </w:r>
      <w:bookmarkEnd w:id="1"/>
    </w:p>
    <w:p w14:paraId="28F18E8C" w14:textId="5923300B" w:rsidR="00B57367" w:rsidRDefault="00B57367" w:rsidP="0023705D">
      <w:pPr>
        <w:pStyle w:val="Observation"/>
      </w:pPr>
      <w:bookmarkStart w:id="2" w:name="_Ref115438935"/>
      <w:r>
        <w:t>Non-transparent schemes are being studied because the extra degrees of freedom in the design as compared to transparent schemes may allow for better MPR reduction.</w:t>
      </w:r>
      <w:bookmarkEnd w:id="2"/>
    </w:p>
    <w:p w14:paraId="168A7EB0" w14:textId="27BCA3B7" w:rsidR="00B57367" w:rsidRDefault="00B57367" w:rsidP="0023705D">
      <w:pPr>
        <w:pStyle w:val="Proposal"/>
      </w:pPr>
      <w:bookmarkStart w:id="3" w:name="_Ref115439046"/>
      <w:r>
        <w:lastRenderedPageBreak/>
        <w:t>Transparent MPR reduction schemes are baselines to which non-transparent schemes are compared</w:t>
      </w:r>
      <w:bookmarkEnd w:id="3"/>
    </w:p>
    <w:p w14:paraId="5675EAAA" w14:textId="4776D738" w:rsidR="00FC0668" w:rsidRDefault="00FC0668" w:rsidP="00FC0668">
      <w:r>
        <w:t xml:space="preserve">Since there are many possible transparent MPR reduction schemes, it is worthwhile to identify a few that should be studied, to allow common understanding of performance among companies.  These schemes should represent a sampling of performance gains vs. complexity </w:t>
      </w:r>
      <w:proofErr w:type="spellStart"/>
      <w:r>
        <w:t>tradeoffs</w:t>
      </w:r>
      <w:proofErr w:type="spellEnd"/>
      <w:r>
        <w:t xml:space="preserve">. Three possibilities are clipping and filtering, </w:t>
      </w:r>
      <w:proofErr w:type="spellStart"/>
      <w:r>
        <w:t>companding</w:t>
      </w:r>
      <w:proofErr w:type="spellEnd"/>
      <w:r>
        <w:t xml:space="preserve">, and digital predistortion.  Clipping and filtering is the simplest of the </w:t>
      </w:r>
      <w:proofErr w:type="gramStart"/>
      <w:r>
        <w:t>three, but</w:t>
      </w:r>
      <w:proofErr w:type="gramEnd"/>
      <w:r>
        <w:t xml:space="preserve"> will have the least gains.  </w:t>
      </w:r>
      <w:proofErr w:type="spellStart"/>
      <w:r>
        <w:t>Companding</w:t>
      </w:r>
      <w:proofErr w:type="spellEnd"/>
      <w:r>
        <w:t xml:space="preserve"> may be somewhat more </w:t>
      </w:r>
      <w:proofErr w:type="gramStart"/>
      <w:r>
        <w:t>complex, but</w:t>
      </w:r>
      <w:proofErr w:type="gramEnd"/>
      <w:r>
        <w:t xml:space="preserve"> may have better MPR.  Finally, digital predistortion is substantially more complex, but will have the best performance for MPR reduction via better compliance to unwanted emission requirements, as well as reduced EVM.  There are of course many other schemes beyond these three which can be considered, and so we identify them as candidates for further consideration</w:t>
      </w:r>
      <w:r w:rsidR="00FF15AD">
        <w:t xml:space="preserve"> </w:t>
      </w:r>
      <w:bookmarkStart w:id="4" w:name="_Hlk115363639"/>
      <w:r w:rsidR="00FF15AD">
        <w:t xml:space="preserve">in order to get the discussion of transparent schemes </w:t>
      </w:r>
      <w:proofErr w:type="gramStart"/>
      <w:r w:rsidR="00FF15AD">
        <w:t>started</w:t>
      </w:r>
      <w:bookmarkEnd w:id="4"/>
      <w:r>
        <w:t>,.</w:t>
      </w:r>
      <w:proofErr w:type="gramEnd"/>
      <w:r>
        <w:t xml:space="preserve"> </w:t>
      </w:r>
    </w:p>
    <w:p w14:paraId="0AE4AE29" w14:textId="4B7E3EFF" w:rsidR="00FC0668" w:rsidRDefault="00FC0668" w:rsidP="0023705D">
      <w:pPr>
        <w:pStyle w:val="Proposal"/>
      </w:pPr>
      <w:bookmarkStart w:id="5" w:name="_Ref115439061"/>
      <w:r>
        <w:t xml:space="preserve">Candidate transparent MPR reduction schemes to consider include clipping and filtering, </w:t>
      </w:r>
      <w:proofErr w:type="spellStart"/>
      <w:r>
        <w:t>companding</w:t>
      </w:r>
      <w:proofErr w:type="spellEnd"/>
      <w:r>
        <w:t>, and digital predistortion</w:t>
      </w:r>
      <w:bookmarkEnd w:id="5"/>
    </w:p>
    <w:p w14:paraId="0424CBCA" w14:textId="479F3792" w:rsidR="00811D52" w:rsidRDefault="00C316C9" w:rsidP="001954C9">
      <w:r>
        <w:t xml:space="preserve">MPR reduction </w:t>
      </w:r>
      <w:r w:rsidR="00011EFD">
        <w:t xml:space="preserve">schemes </w:t>
      </w:r>
      <w:r w:rsidR="009720A9">
        <w:t xml:space="preserve">aim to reduce the PAPR of the </w:t>
      </w:r>
      <w:r w:rsidR="0099348E">
        <w:t xml:space="preserve">signal input to the PA and thus </w:t>
      </w:r>
      <w:r w:rsidR="005C280E">
        <w:t>reduce the PA backoff power while maintain</w:t>
      </w:r>
      <w:r w:rsidR="00375538">
        <w:t xml:space="preserve">ing the PA linearity to the </w:t>
      </w:r>
      <w:r w:rsidR="00C0615B">
        <w:t xml:space="preserve">unwanted and in-band </w:t>
      </w:r>
      <w:r w:rsidR="00375538">
        <w:t>emission</w:t>
      </w:r>
      <w:r w:rsidR="001A553A">
        <w:t xml:space="preserve"> and signal quality performance</w:t>
      </w:r>
      <w:r w:rsidR="002B62FD">
        <w:t xml:space="preserve"> </w:t>
      </w:r>
      <w:r w:rsidR="00B23F64" w:rsidRPr="00B23F64">
        <w:t>(ACLR, SEM, Spur, IBE, EVM, Spectrum flatness)</w:t>
      </w:r>
      <w:r w:rsidR="001A553A">
        <w:t xml:space="preserve">. </w:t>
      </w:r>
      <w:r w:rsidR="00B1488F">
        <w:t xml:space="preserve">For spectrum shaping, RAN4 has specified the MPR for Pi/2 BPSK </w:t>
      </w:r>
      <w:r w:rsidR="00F73256">
        <w:t xml:space="preserve">with spectrum shaping </w:t>
      </w:r>
      <w:r w:rsidR="00D52205">
        <w:t xml:space="preserve">filter </w:t>
      </w:r>
      <w:r w:rsidR="00C91346">
        <w:t>design</w:t>
      </w:r>
      <w:r w:rsidR="00D52205">
        <w:t xml:space="preserve"> </w:t>
      </w:r>
      <w:r w:rsidR="00F73256">
        <w:t xml:space="preserve">with </w:t>
      </w:r>
      <w:r w:rsidR="00A01B25">
        <w:t xml:space="preserve">the guidance in </w:t>
      </w:r>
      <w:r w:rsidR="00096C34">
        <w:t>clause 6.4.2.</w:t>
      </w:r>
      <w:r w:rsidR="5B556C3B">
        <w:t>4</w:t>
      </w:r>
      <w:r w:rsidR="00096C34">
        <w:t xml:space="preserve"> in TS 38.101-1</w:t>
      </w:r>
      <w:r w:rsidR="00DB37B6">
        <w:t xml:space="preserve"> and TS 38.101-2. </w:t>
      </w:r>
      <w:r w:rsidR="00811D52">
        <w:t xml:space="preserve">Filtering may also be used for tone reservation or baseline schemes such as clipping and filtering. </w:t>
      </w:r>
      <w:r w:rsidR="000F710C">
        <w:t xml:space="preserve">The filter coefficient design is up to UE implementation but for the purpose of the </w:t>
      </w:r>
      <w:r w:rsidR="00B23F64">
        <w:t>aligning</w:t>
      </w:r>
      <w:r w:rsidR="00025ABD">
        <w:t xml:space="preserve"> the MPR simulation results</w:t>
      </w:r>
      <w:r w:rsidR="00B23F64">
        <w:t>, some reference filter coefficients</w:t>
      </w:r>
      <w:r w:rsidR="00693793">
        <w:t xml:space="preserve"> </w:t>
      </w:r>
      <w:r w:rsidR="00850262">
        <w:t xml:space="preserve">could be useful to </w:t>
      </w:r>
      <w:r w:rsidR="00A1181F">
        <w:t>align</w:t>
      </w:r>
      <w:r w:rsidR="00225A30">
        <w:t>/calibrate</w:t>
      </w:r>
      <w:r w:rsidR="00A1181F">
        <w:t xml:space="preserve"> the companies </w:t>
      </w:r>
      <w:r w:rsidR="00225A30">
        <w:t xml:space="preserve">simulation </w:t>
      </w:r>
      <w:r w:rsidR="00A1181F">
        <w:t>result.</w:t>
      </w:r>
      <w:r w:rsidR="00693793">
        <w:t xml:space="preserve"> </w:t>
      </w:r>
      <w:r>
        <w:t xml:space="preserve"> </w:t>
      </w:r>
    </w:p>
    <w:p w14:paraId="68830216" w14:textId="5DC42F25" w:rsidR="002F4393" w:rsidRPr="00FE1461" w:rsidRDefault="00793FDD" w:rsidP="0023705D">
      <w:pPr>
        <w:pStyle w:val="Proposal"/>
      </w:pPr>
      <w:bookmarkStart w:id="6" w:name="_Ref115159783"/>
      <w:r>
        <w:t xml:space="preserve">The </w:t>
      </w:r>
      <w:r w:rsidR="00BC166F">
        <w:t>filter coefficient could be one simulation parameter</w:t>
      </w:r>
      <w:r w:rsidR="00D4573D">
        <w:t xml:space="preserve"> to be discussed and agreed.</w:t>
      </w:r>
      <w:bookmarkEnd w:id="6"/>
    </w:p>
    <w:p w14:paraId="06184EAC" w14:textId="617013C9" w:rsidR="00FD5A69" w:rsidRDefault="00FD5A69" w:rsidP="00E37797">
      <w:r>
        <w:t xml:space="preserve">Another aspect is the spectrum extension mentioned in objective, </w:t>
      </w:r>
      <w:r w:rsidR="004E09B2">
        <w:t>when the UE is a</w:t>
      </w:r>
      <w:r w:rsidR="0074034B">
        <w:t>llocated with more RB</w:t>
      </w:r>
      <w:r w:rsidR="00D318E3">
        <w:t>s</w:t>
      </w:r>
      <w:r w:rsidR="00122AC9">
        <w:t xml:space="preserve"> on top of the RB</w:t>
      </w:r>
      <w:r w:rsidR="00D318E3">
        <w:t>s</w:t>
      </w:r>
      <w:r w:rsidR="00122AC9">
        <w:t xml:space="preserve"> for data, these RBs could be used to allow </w:t>
      </w:r>
      <w:r w:rsidR="00254595">
        <w:t>different roll-off at the transit</w:t>
      </w:r>
      <w:r w:rsidR="00534017">
        <w:t>ion</w:t>
      </w:r>
      <w:r w:rsidR="00254595">
        <w:t xml:space="preserve"> band. </w:t>
      </w:r>
      <w:r w:rsidR="00534017">
        <w:t>This could mean also that the IBE will not be applied for these “RB</w:t>
      </w:r>
      <w:r w:rsidR="00D318E3">
        <w:t>s</w:t>
      </w:r>
      <w:r w:rsidR="00534017">
        <w:t xml:space="preserve">” reserved for spectrum extension. </w:t>
      </w:r>
      <w:r w:rsidR="00720D7D">
        <w:t xml:space="preserve">From the spectrum </w:t>
      </w:r>
      <w:r w:rsidR="00307797">
        <w:t>utilization</w:t>
      </w:r>
      <w:r w:rsidR="00720D7D">
        <w:t xml:space="preserve"> perspective, these RB</w:t>
      </w:r>
      <w:r w:rsidR="00D318E3">
        <w:t>s</w:t>
      </w:r>
      <w:r w:rsidR="00720D7D">
        <w:t xml:space="preserve"> should be limited </w:t>
      </w:r>
      <w:r w:rsidR="003C2690">
        <w:t>as it cannot be scheduled by other UE. This parameter could be discussed to be used in simulation.</w:t>
      </w:r>
    </w:p>
    <w:p w14:paraId="12353BA1" w14:textId="6A061A69" w:rsidR="003C2690" w:rsidRDefault="00C63DC3" w:rsidP="0023705D">
      <w:pPr>
        <w:pStyle w:val="Proposal"/>
      </w:pPr>
      <w:bookmarkStart w:id="7" w:name="_Ref115159793"/>
      <w:r>
        <w:t>Percentage and/or n</w:t>
      </w:r>
      <w:r w:rsidR="003C2690">
        <w:t>umber of RB</w:t>
      </w:r>
      <w:r>
        <w:t>s</w:t>
      </w:r>
      <w:r w:rsidR="003C2690">
        <w:t xml:space="preserve"> used for the spectrum extension to be discussed and agreed.</w:t>
      </w:r>
      <w:bookmarkEnd w:id="7"/>
    </w:p>
    <w:p w14:paraId="3E507C6D" w14:textId="0CB6F993" w:rsidR="003744AA" w:rsidRDefault="003744AA" w:rsidP="003744AA">
      <w:r>
        <w:t xml:space="preserve">Since MPR reduction schemes may or may not use spectrum extension, </w:t>
      </w:r>
      <w:r w:rsidR="20282ACD">
        <w:t>for the MPR s</w:t>
      </w:r>
      <w:r w:rsidR="463078D3">
        <w:t>c</w:t>
      </w:r>
      <w:r w:rsidR="20282ACD">
        <w:t xml:space="preserve">heme using the spectrum extension, </w:t>
      </w:r>
      <w:r>
        <w:t xml:space="preserve">it is essential that they are compared using a same amount of time-frequency resource and at a same spectral efficiency. </w:t>
      </w:r>
      <w:r w:rsidR="55B62A17">
        <w:t>The</w:t>
      </w:r>
      <w:r w:rsidR="06B6B18A">
        <w:t xml:space="preserve"> </w:t>
      </w:r>
      <w:r w:rsidR="55B62A17">
        <w:t xml:space="preserve">gain from MPR reduction scheme should be evaluated </w:t>
      </w:r>
      <w:r w:rsidR="4ABD229F">
        <w:t>in network level by summing up the MPR reduction gain and</w:t>
      </w:r>
      <w:r w:rsidR="55B62A17">
        <w:t xml:space="preserve"> the </w:t>
      </w:r>
      <w:r w:rsidR="7576903A">
        <w:t>negative gain resulting</w:t>
      </w:r>
      <w:r w:rsidR="55B62A17">
        <w:t xml:space="preserve"> from the coding rating loss</w:t>
      </w:r>
      <w:r w:rsidR="3D8192FC">
        <w:t>.</w:t>
      </w:r>
      <w:r w:rsidR="55B62A17">
        <w:t xml:space="preserve"> </w:t>
      </w:r>
      <w:r w:rsidR="00AB6CFB">
        <w:t xml:space="preserve">If there will be distortion introduced in the UE for example spectrum shaping, it is also good the check whether the SNR performance would be impacted with link simulation. </w:t>
      </w:r>
      <w:proofErr w:type="gramStart"/>
      <w:r>
        <w:t>Otherwise</w:t>
      </w:r>
      <w:proofErr w:type="gramEnd"/>
      <w:r>
        <w:t xml:space="preserve"> it is difficult to determine if there is a net benefit of schemes when used in a real system</w:t>
      </w:r>
      <w:r w:rsidR="57C92694">
        <w:t>.</w:t>
      </w:r>
      <w:r>
        <w:t xml:space="preserve">   </w:t>
      </w:r>
    </w:p>
    <w:p w14:paraId="4A29D95E" w14:textId="1BC0C7CC" w:rsidR="003744AA" w:rsidRDefault="00CE3545" w:rsidP="003744AA">
      <w:r>
        <w:t>Similarly, it is important that the resources allocated by the network if spectrum extension is used are compatible with Rel-15/16/17 UEs.  Therefore, spectrum extension should not allocate resources for spectrum extension outside of the resources allocated using Rel-17 resource allocation mechanisms.</w:t>
      </w:r>
    </w:p>
    <w:p w14:paraId="746459C5" w14:textId="10662264" w:rsidR="709C29BE" w:rsidRDefault="709C29BE" w:rsidP="0023705D">
      <w:pPr>
        <w:pStyle w:val="Observation"/>
        <w:spacing w:line="259" w:lineRule="auto"/>
      </w:pPr>
      <w:bookmarkStart w:id="8" w:name="_Ref115439171"/>
      <w:r>
        <w:t>Link simulation would be needed to compare the network gain for MPR reduction with spectrum extension</w:t>
      </w:r>
      <w:bookmarkEnd w:id="8"/>
    </w:p>
    <w:p w14:paraId="4284D52C" w14:textId="2E95C2FA" w:rsidR="003744AA" w:rsidRDefault="003744AA" w:rsidP="0023705D">
      <w:pPr>
        <w:pStyle w:val="Proposal"/>
      </w:pPr>
      <w:bookmarkStart w:id="9" w:name="_Toc114080089"/>
      <w:bookmarkStart w:id="10" w:name="_Ref115439213"/>
      <w:r>
        <w:t xml:space="preserve">Compare schemes at the link level using a same amount of time-frequency resource and at a same spectral </w:t>
      </w:r>
      <w:proofErr w:type="gramStart"/>
      <w:r>
        <w:t>efficiency</w:t>
      </w:r>
      <w:bookmarkEnd w:id="9"/>
      <w:r w:rsidR="00CE3545">
        <w:t xml:space="preserve">, </w:t>
      </w:r>
      <w:r w:rsidR="008A0763">
        <w:t>and</w:t>
      </w:r>
      <w:proofErr w:type="gramEnd"/>
      <w:r w:rsidR="008A0763">
        <w:t xml:space="preserve"> </w:t>
      </w:r>
      <w:r w:rsidR="00CE3545">
        <w:t>assuming Rel-17 resource allocation mechanisms.</w:t>
      </w:r>
    </w:p>
    <w:bookmarkEnd w:id="10"/>
    <w:p w14:paraId="33D025C9" w14:textId="72C0D2E6" w:rsidR="00E37797" w:rsidRDefault="001828DE" w:rsidP="00E37797">
      <w:r>
        <w:t xml:space="preserve">In </w:t>
      </w:r>
      <w:r w:rsidR="00DA2F8C">
        <w:t xml:space="preserve">MPR table </w:t>
      </w:r>
      <w:r>
        <w:t>in TS 38.101-1</w:t>
      </w:r>
      <w:r w:rsidR="00184685">
        <w:t xml:space="preserve">, there is no </w:t>
      </w:r>
      <w:r w:rsidR="00A016A7">
        <w:t xml:space="preserve">MPR for inner allocation for QPSK, the study then could focus on the outer RB allocation for QPSK and </w:t>
      </w:r>
      <w:r w:rsidR="0041505F">
        <w:t xml:space="preserve">for </w:t>
      </w:r>
      <w:r w:rsidR="00B13683">
        <w:t xml:space="preserve">higher modulation </w:t>
      </w:r>
      <w:r w:rsidR="00643E6D">
        <w:t xml:space="preserve">than 64QAM, </w:t>
      </w:r>
      <w:r w:rsidR="00FB281A">
        <w:t>EVM requirement is tou</w:t>
      </w:r>
      <w:r w:rsidR="00F608BD">
        <w:t>g</w:t>
      </w:r>
      <w:r w:rsidR="00FB281A">
        <w:t xml:space="preserve">her </w:t>
      </w:r>
      <w:r w:rsidR="006307FD">
        <w:t xml:space="preserve">and </w:t>
      </w:r>
      <w:r w:rsidR="0055137D">
        <w:t>EVM budget on the sp</w:t>
      </w:r>
      <w:r w:rsidR="00FB281A">
        <w:t xml:space="preserve">ectrum shaping may be further limited. </w:t>
      </w:r>
      <w:r w:rsidR="00353568">
        <w:t xml:space="preserve">As one study point, the highest modulation order could be supported for improving the </w:t>
      </w:r>
      <w:r w:rsidR="005855B4">
        <w:t>MPR could be further investigated.</w:t>
      </w:r>
    </w:p>
    <w:p w14:paraId="4BE1BA2F" w14:textId="220E4425" w:rsidR="005855B4" w:rsidRDefault="005855B4" w:rsidP="0023705D">
      <w:pPr>
        <w:pStyle w:val="Proposal"/>
      </w:pPr>
      <w:bookmarkStart w:id="11" w:name="_Ref115159801"/>
      <w:r>
        <w:t xml:space="preserve">Investigate if there </w:t>
      </w:r>
      <w:r w:rsidR="00B57367">
        <w:t xml:space="preserve">are </w:t>
      </w:r>
      <w:r>
        <w:t>modulation scheme limitation</w:t>
      </w:r>
      <w:r w:rsidR="00B57367">
        <w:t>s</w:t>
      </w:r>
      <w:r>
        <w:t xml:space="preserve"> for the </w:t>
      </w:r>
      <w:r w:rsidR="00540DD2">
        <w:t>MPR reduction</w:t>
      </w:r>
      <w:r>
        <w:t xml:space="preserve"> scheme.</w:t>
      </w:r>
      <w:bookmarkEnd w:id="11"/>
    </w:p>
    <w:p w14:paraId="65DBD39B" w14:textId="3D51D719" w:rsidR="001828DE" w:rsidRDefault="001828DE" w:rsidP="00E37797"/>
    <w:p w14:paraId="5E1DD4ED" w14:textId="77777777" w:rsidR="001828DE" w:rsidRPr="00A1115A" w:rsidRDefault="001828DE" w:rsidP="001828DE">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828DE" w:rsidRPr="00A1115A" w14:paraId="7E499B49" w14:textId="77777777" w:rsidTr="003452C6">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97E6EFA" w14:textId="77777777" w:rsidR="001828DE" w:rsidRPr="00A1115A" w:rsidRDefault="001828DE" w:rsidP="003452C6">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2742F5B" w14:textId="77777777" w:rsidR="001828DE" w:rsidRPr="00A1115A" w:rsidRDefault="001828DE" w:rsidP="003452C6">
            <w:pPr>
              <w:pStyle w:val="TAH"/>
            </w:pPr>
            <w:r w:rsidRPr="00A1115A">
              <w:t>MPR (dB)</w:t>
            </w:r>
          </w:p>
        </w:tc>
      </w:tr>
      <w:tr w:rsidR="001828DE" w:rsidRPr="00A1115A" w14:paraId="04C76F1F" w14:textId="77777777" w:rsidTr="003452C6">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8D72891" w14:textId="77777777" w:rsidR="001828DE" w:rsidRPr="00A1115A" w:rsidRDefault="001828DE" w:rsidP="003452C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13C35FE" w14:textId="77777777" w:rsidR="001828DE" w:rsidRPr="00A1115A" w:rsidRDefault="001828DE" w:rsidP="003452C6">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DF019A8" w14:textId="77777777" w:rsidR="001828DE" w:rsidRPr="00A1115A" w:rsidRDefault="001828DE" w:rsidP="003452C6">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F150758" w14:textId="77777777" w:rsidR="001828DE" w:rsidRPr="00A1115A" w:rsidRDefault="001828DE" w:rsidP="003452C6">
            <w:pPr>
              <w:pStyle w:val="TAH"/>
            </w:pPr>
            <w:r w:rsidRPr="00A1115A">
              <w:t>Inner RB allocations</w:t>
            </w:r>
          </w:p>
        </w:tc>
      </w:tr>
      <w:tr w:rsidR="001828DE" w:rsidRPr="00A1115A" w14:paraId="4096D32D" w14:textId="77777777" w:rsidTr="003452C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1FEBBEB" w14:textId="77777777" w:rsidR="001828DE" w:rsidRPr="00A1115A" w:rsidRDefault="001828DE" w:rsidP="003452C6">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547C2766" w14:textId="77777777" w:rsidR="001828DE" w:rsidRPr="00A1115A" w:rsidRDefault="001828DE" w:rsidP="003452C6">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3A0045CD" w14:textId="77777777" w:rsidR="001828DE" w:rsidRPr="00A1115A" w:rsidRDefault="001828DE" w:rsidP="003452C6">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3782A9D5" w14:textId="77777777" w:rsidR="001828DE" w:rsidRPr="00A1115A" w:rsidRDefault="001828DE" w:rsidP="003452C6">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ABA1A7C" w14:textId="77777777" w:rsidR="001828DE" w:rsidRPr="00A1115A" w:rsidRDefault="001828DE" w:rsidP="003452C6">
            <w:pPr>
              <w:pStyle w:val="TAC"/>
            </w:pPr>
            <w:r w:rsidRPr="00A1115A">
              <w:t>≤ 0.2</w:t>
            </w:r>
            <w:r w:rsidRPr="00A1115A">
              <w:rPr>
                <w:vertAlign w:val="superscript"/>
              </w:rPr>
              <w:t>1</w:t>
            </w:r>
          </w:p>
        </w:tc>
      </w:tr>
      <w:tr w:rsidR="001828DE" w:rsidRPr="00A1115A" w14:paraId="55F9B28D" w14:textId="77777777" w:rsidTr="003452C6">
        <w:trPr>
          <w:trHeight w:val="187"/>
        </w:trPr>
        <w:tc>
          <w:tcPr>
            <w:tcW w:w="1072" w:type="dxa"/>
            <w:tcBorders>
              <w:top w:val="nil"/>
              <w:left w:val="single" w:sz="4" w:space="0" w:color="auto"/>
              <w:bottom w:val="nil"/>
              <w:right w:val="single" w:sz="4" w:space="0" w:color="auto"/>
            </w:tcBorders>
            <w:shd w:val="clear" w:color="auto" w:fill="auto"/>
          </w:tcPr>
          <w:p w14:paraId="75302DCD" w14:textId="77777777" w:rsidR="001828DE" w:rsidRPr="00A1115A" w:rsidRDefault="001828DE" w:rsidP="003452C6">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545A041D" w14:textId="77777777" w:rsidR="001828DE" w:rsidRPr="00A1115A" w:rsidRDefault="001828DE" w:rsidP="003452C6">
            <w:pPr>
              <w:pStyle w:val="TAC"/>
            </w:pPr>
          </w:p>
        </w:tc>
        <w:tc>
          <w:tcPr>
            <w:tcW w:w="2268" w:type="dxa"/>
            <w:tcBorders>
              <w:top w:val="single" w:sz="4" w:space="0" w:color="auto"/>
              <w:left w:val="single" w:sz="4" w:space="0" w:color="auto"/>
              <w:bottom w:val="single" w:sz="4" w:space="0" w:color="auto"/>
              <w:right w:val="single" w:sz="4" w:space="0" w:color="auto"/>
            </w:tcBorders>
          </w:tcPr>
          <w:p w14:paraId="1C5CA314" w14:textId="77777777" w:rsidR="001828DE" w:rsidRPr="00A1115A" w:rsidRDefault="001828DE" w:rsidP="003452C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8E9083D" w14:textId="77777777" w:rsidR="001828DE" w:rsidRPr="00A1115A" w:rsidRDefault="001828DE" w:rsidP="003452C6">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EEDDB10" w14:textId="77777777" w:rsidR="001828DE" w:rsidRPr="00A1115A" w:rsidRDefault="001828DE" w:rsidP="003452C6">
            <w:pPr>
              <w:pStyle w:val="TAC"/>
              <w:rPr>
                <w:lang w:val="en-CA"/>
              </w:rPr>
            </w:pPr>
            <w:r w:rsidRPr="00A1115A">
              <w:t>0</w:t>
            </w:r>
            <w:r w:rsidRPr="00A1115A">
              <w:rPr>
                <w:vertAlign w:val="superscript"/>
              </w:rPr>
              <w:t>2</w:t>
            </w:r>
          </w:p>
        </w:tc>
      </w:tr>
      <w:tr w:rsidR="001828DE" w:rsidRPr="00A1115A" w14:paraId="2E7D7B18" w14:textId="77777777" w:rsidTr="003452C6">
        <w:trPr>
          <w:trHeight w:val="187"/>
        </w:trPr>
        <w:tc>
          <w:tcPr>
            <w:tcW w:w="1072" w:type="dxa"/>
            <w:tcBorders>
              <w:top w:val="nil"/>
              <w:left w:val="single" w:sz="4" w:space="0" w:color="auto"/>
              <w:bottom w:val="nil"/>
              <w:right w:val="single" w:sz="4" w:space="0" w:color="auto"/>
            </w:tcBorders>
            <w:shd w:val="clear" w:color="auto" w:fill="auto"/>
          </w:tcPr>
          <w:p w14:paraId="6743BED6" w14:textId="77777777" w:rsidR="001828DE" w:rsidRPr="00A1115A" w:rsidRDefault="001828DE" w:rsidP="003452C6">
            <w:pPr>
              <w:pStyle w:val="TAC"/>
            </w:pPr>
          </w:p>
        </w:tc>
        <w:tc>
          <w:tcPr>
            <w:tcW w:w="1560" w:type="dxa"/>
            <w:tcBorders>
              <w:left w:val="single" w:sz="4" w:space="0" w:color="auto"/>
              <w:bottom w:val="single" w:sz="4" w:space="0" w:color="auto"/>
              <w:right w:val="single" w:sz="4" w:space="0" w:color="auto"/>
            </w:tcBorders>
          </w:tcPr>
          <w:p w14:paraId="2CFCFBFF" w14:textId="77777777" w:rsidR="001828DE" w:rsidRPr="00A1115A" w:rsidRDefault="001828DE" w:rsidP="003452C6">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05C40D4" w14:textId="77777777" w:rsidR="001828DE" w:rsidRPr="00A1115A" w:rsidRDefault="001828DE" w:rsidP="003452C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E2FBAA9" w14:textId="77777777" w:rsidR="001828DE" w:rsidRPr="00A1115A" w:rsidRDefault="001828DE" w:rsidP="003452C6">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818E7B2" w14:textId="77777777" w:rsidR="001828DE" w:rsidRPr="00A1115A" w:rsidRDefault="001828DE" w:rsidP="003452C6">
            <w:pPr>
              <w:pStyle w:val="TAC"/>
            </w:pPr>
            <w:r w:rsidRPr="00A1115A">
              <w:t>0</w:t>
            </w:r>
            <w:r w:rsidRPr="00A1115A">
              <w:rPr>
                <w:vertAlign w:val="superscript"/>
              </w:rPr>
              <w:t>2</w:t>
            </w:r>
          </w:p>
        </w:tc>
      </w:tr>
      <w:tr w:rsidR="001828DE" w:rsidRPr="00A1115A" w14:paraId="20A83988" w14:textId="77777777" w:rsidTr="003452C6">
        <w:trPr>
          <w:trHeight w:val="187"/>
        </w:trPr>
        <w:tc>
          <w:tcPr>
            <w:tcW w:w="1072" w:type="dxa"/>
            <w:tcBorders>
              <w:top w:val="nil"/>
              <w:left w:val="single" w:sz="4" w:space="0" w:color="auto"/>
              <w:bottom w:val="nil"/>
              <w:right w:val="single" w:sz="4" w:space="0" w:color="auto"/>
            </w:tcBorders>
            <w:shd w:val="clear" w:color="auto" w:fill="auto"/>
            <w:hideMark/>
          </w:tcPr>
          <w:p w14:paraId="1EE822FC" w14:textId="77777777" w:rsidR="001828DE" w:rsidRPr="00A1115A" w:rsidRDefault="001828DE" w:rsidP="003452C6">
            <w:pPr>
              <w:pStyle w:val="TAC"/>
            </w:pPr>
          </w:p>
        </w:tc>
        <w:tc>
          <w:tcPr>
            <w:tcW w:w="1560" w:type="dxa"/>
            <w:tcBorders>
              <w:top w:val="single" w:sz="4" w:space="0" w:color="auto"/>
              <w:left w:val="single" w:sz="4" w:space="0" w:color="auto"/>
              <w:bottom w:val="single" w:sz="4" w:space="0" w:color="auto"/>
              <w:right w:val="single" w:sz="4" w:space="0" w:color="auto"/>
            </w:tcBorders>
          </w:tcPr>
          <w:p w14:paraId="4A92DA2A" w14:textId="77777777" w:rsidR="001828DE" w:rsidRPr="00A1115A" w:rsidRDefault="001828DE" w:rsidP="003452C6">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EC85512" w14:textId="77777777" w:rsidR="001828DE" w:rsidRPr="00A1115A" w:rsidRDefault="001828DE" w:rsidP="003452C6">
            <w:pPr>
              <w:pStyle w:val="TAC"/>
            </w:pPr>
            <w:r w:rsidRPr="00184685">
              <w:rPr>
                <w:highlight w:val="yellow"/>
              </w:rPr>
              <w:t xml:space="preserve">≤ </w:t>
            </w:r>
            <w:r w:rsidRPr="00184685">
              <w:rPr>
                <w:highlight w:val="yellow"/>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6748F3E" w14:textId="77777777" w:rsidR="001828DE" w:rsidRPr="00A1115A" w:rsidRDefault="001828DE" w:rsidP="003452C6">
            <w:pPr>
              <w:pStyle w:val="TAC"/>
            </w:pPr>
            <w:r w:rsidRPr="00A1115A">
              <w:rPr>
                <w:lang w:val="en-CA"/>
              </w:rPr>
              <w:t>0</w:t>
            </w:r>
          </w:p>
        </w:tc>
      </w:tr>
      <w:tr w:rsidR="001828DE" w:rsidRPr="00A1115A" w14:paraId="6CC57954" w14:textId="77777777" w:rsidTr="003452C6">
        <w:trPr>
          <w:trHeight w:val="187"/>
        </w:trPr>
        <w:tc>
          <w:tcPr>
            <w:tcW w:w="1072" w:type="dxa"/>
            <w:tcBorders>
              <w:top w:val="nil"/>
              <w:left w:val="single" w:sz="4" w:space="0" w:color="auto"/>
              <w:bottom w:val="nil"/>
              <w:right w:val="single" w:sz="4" w:space="0" w:color="auto"/>
            </w:tcBorders>
            <w:shd w:val="clear" w:color="auto" w:fill="auto"/>
            <w:hideMark/>
          </w:tcPr>
          <w:p w14:paraId="70B3E17B" w14:textId="77777777" w:rsidR="001828DE" w:rsidRPr="00A1115A" w:rsidRDefault="001828DE" w:rsidP="003452C6">
            <w:pPr>
              <w:pStyle w:val="TAC"/>
            </w:pPr>
          </w:p>
        </w:tc>
        <w:tc>
          <w:tcPr>
            <w:tcW w:w="1560" w:type="dxa"/>
            <w:tcBorders>
              <w:top w:val="single" w:sz="4" w:space="0" w:color="auto"/>
              <w:left w:val="single" w:sz="4" w:space="0" w:color="auto"/>
              <w:bottom w:val="single" w:sz="4" w:space="0" w:color="auto"/>
              <w:right w:val="single" w:sz="4" w:space="0" w:color="auto"/>
            </w:tcBorders>
          </w:tcPr>
          <w:p w14:paraId="3FDE2C09" w14:textId="77777777" w:rsidR="001828DE" w:rsidRPr="00A1115A" w:rsidRDefault="001828DE" w:rsidP="003452C6">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94C34F4" w14:textId="77777777" w:rsidR="001828DE" w:rsidRPr="00A90BC1" w:rsidRDefault="001828DE" w:rsidP="003452C6">
            <w:pPr>
              <w:pStyle w:val="TAC"/>
              <w:rPr>
                <w:highlight w:val="yellow"/>
              </w:rPr>
            </w:pPr>
            <w:r w:rsidRPr="0092681F">
              <w:rPr>
                <w:highlight w:val="yellow"/>
              </w:rPr>
              <w:t xml:space="preserve">≤ </w:t>
            </w:r>
            <w:r w:rsidRPr="0092681F">
              <w:rPr>
                <w:highlight w:val="yellow"/>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0B984CC3" w14:textId="77777777" w:rsidR="001828DE" w:rsidRPr="00A90BC1" w:rsidRDefault="001828DE" w:rsidP="003452C6">
            <w:pPr>
              <w:pStyle w:val="TAC"/>
              <w:rPr>
                <w:highlight w:val="yellow"/>
              </w:rPr>
            </w:pPr>
            <w:r w:rsidRPr="00A90BC1">
              <w:rPr>
                <w:highlight w:val="yellow"/>
              </w:rPr>
              <w:t xml:space="preserve">≤ </w:t>
            </w:r>
            <w:r w:rsidRPr="00A90BC1">
              <w:rPr>
                <w:highlight w:val="yellow"/>
                <w:lang w:val="en-CA"/>
              </w:rPr>
              <w:t>1</w:t>
            </w:r>
          </w:p>
        </w:tc>
      </w:tr>
      <w:tr w:rsidR="001828DE" w:rsidRPr="00A1115A" w14:paraId="60F8A1AE" w14:textId="77777777" w:rsidTr="003452C6">
        <w:trPr>
          <w:trHeight w:val="187"/>
        </w:trPr>
        <w:tc>
          <w:tcPr>
            <w:tcW w:w="1072" w:type="dxa"/>
            <w:tcBorders>
              <w:top w:val="nil"/>
              <w:left w:val="single" w:sz="4" w:space="0" w:color="auto"/>
              <w:bottom w:val="nil"/>
              <w:right w:val="single" w:sz="4" w:space="0" w:color="auto"/>
            </w:tcBorders>
            <w:shd w:val="clear" w:color="auto" w:fill="auto"/>
            <w:hideMark/>
          </w:tcPr>
          <w:p w14:paraId="6ECC76F6" w14:textId="77777777" w:rsidR="001828DE" w:rsidRPr="00A1115A" w:rsidRDefault="001828DE" w:rsidP="003452C6">
            <w:pPr>
              <w:pStyle w:val="TAC"/>
            </w:pPr>
          </w:p>
        </w:tc>
        <w:tc>
          <w:tcPr>
            <w:tcW w:w="1560" w:type="dxa"/>
            <w:tcBorders>
              <w:top w:val="single" w:sz="4" w:space="0" w:color="auto"/>
              <w:left w:val="single" w:sz="4" w:space="0" w:color="auto"/>
              <w:bottom w:val="single" w:sz="4" w:space="0" w:color="auto"/>
              <w:right w:val="single" w:sz="4" w:space="0" w:color="auto"/>
            </w:tcBorders>
          </w:tcPr>
          <w:p w14:paraId="34FCA77D" w14:textId="77777777" w:rsidR="001828DE" w:rsidRPr="00A1115A" w:rsidRDefault="001828DE" w:rsidP="003452C6">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5BB24472" w14:textId="77777777" w:rsidR="001828DE" w:rsidRPr="00A1115A" w:rsidRDefault="001828DE" w:rsidP="003452C6">
            <w:pPr>
              <w:pStyle w:val="TAC"/>
            </w:pPr>
            <w:r w:rsidRPr="00A1115A">
              <w:t xml:space="preserve">≤ </w:t>
            </w:r>
            <w:r w:rsidRPr="00A1115A">
              <w:rPr>
                <w:lang w:val="en-CA"/>
              </w:rPr>
              <w:t>2.5</w:t>
            </w:r>
          </w:p>
        </w:tc>
      </w:tr>
      <w:tr w:rsidR="001828DE" w:rsidRPr="00A1115A" w14:paraId="6A6F1303" w14:textId="77777777" w:rsidTr="003452C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D5F6900" w14:textId="77777777" w:rsidR="001828DE" w:rsidRPr="00A1115A" w:rsidRDefault="001828DE" w:rsidP="003452C6">
            <w:pPr>
              <w:pStyle w:val="TAC"/>
            </w:pPr>
          </w:p>
        </w:tc>
        <w:tc>
          <w:tcPr>
            <w:tcW w:w="1560" w:type="dxa"/>
            <w:tcBorders>
              <w:top w:val="single" w:sz="4" w:space="0" w:color="auto"/>
              <w:left w:val="single" w:sz="4" w:space="0" w:color="auto"/>
              <w:bottom w:val="single" w:sz="4" w:space="0" w:color="auto"/>
              <w:right w:val="single" w:sz="4" w:space="0" w:color="auto"/>
            </w:tcBorders>
          </w:tcPr>
          <w:p w14:paraId="104C0835" w14:textId="77777777" w:rsidR="001828DE" w:rsidRPr="00A1115A" w:rsidRDefault="001828DE" w:rsidP="003452C6">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FE39F9C" w14:textId="77777777" w:rsidR="001828DE" w:rsidRPr="00A1115A" w:rsidRDefault="001828DE" w:rsidP="003452C6">
            <w:pPr>
              <w:pStyle w:val="TAC"/>
            </w:pPr>
            <w:r w:rsidRPr="00A1115A">
              <w:t>≤ 4.5</w:t>
            </w:r>
          </w:p>
        </w:tc>
      </w:tr>
      <w:tr w:rsidR="001828DE" w:rsidRPr="00A1115A" w14:paraId="24F7DD6F" w14:textId="77777777" w:rsidTr="003452C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2395725" w14:textId="77777777" w:rsidR="001828DE" w:rsidRPr="00A1115A" w:rsidRDefault="001828DE" w:rsidP="003452C6">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2CD1065A" w14:textId="77777777" w:rsidR="001828DE" w:rsidRPr="00A1115A" w:rsidRDefault="001828DE" w:rsidP="003452C6">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9ED715A" w14:textId="77777777" w:rsidR="001828DE" w:rsidRPr="00A1115A" w:rsidRDefault="001828DE" w:rsidP="003452C6">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5226E8C" w14:textId="77777777" w:rsidR="001828DE" w:rsidRPr="00A1115A" w:rsidRDefault="001828DE" w:rsidP="003452C6">
            <w:pPr>
              <w:pStyle w:val="TAC"/>
            </w:pPr>
            <w:r w:rsidRPr="00A1115A">
              <w:t>≤</w:t>
            </w:r>
            <w:r w:rsidRPr="00A1115A">
              <w:rPr>
                <w:lang w:val="en-CA"/>
              </w:rPr>
              <w:t xml:space="preserve"> 1.5</w:t>
            </w:r>
          </w:p>
        </w:tc>
      </w:tr>
      <w:tr w:rsidR="001828DE" w:rsidRPr="00A1115A" w14:paraId="7C256754" w14:textId="77777777" w:rsidTr="003452C6">
        <w:trPr>
          <w:trHeight w:val="187"/>
        </w:trPr>
        <w:tc>
          <w:tcPr>
            <w:tcW w:w="1072" w:type="dxa"/>
            <w:tcBorders>
              <w:top w:val="nil"/>
              <w:left w:val="single" w:sz="4" w:space="0" w:color="auto"/>
              <w:bottom w:val="nil"/>
              <w:right w:val="single" w:sz="4" w:space="0" w:color="auto"/>
            </w:tcBorders>
            <w:shd w:val="clear" w:color="auto" w:fill="auto"/>
            <w:hideMark/>
          </w:tcPr>
          <w:p w14:paraId="53F6A65E" w14:textId="77777777" w:rsidR="001828DE" w:rsidRPr="00A1115A" w:rsidRDefault="001828DE" w:rsidP="003452C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594315" w14:textId="77777777" w:rsidR="001828DE" w:rsidRPr="00A1115A" w:rsidRDefault="001828DE" w:rsidP="003452C6">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36F5BC9" w14:textId="77777777" w:rsidR="001828DE" w:rsidRPr="00A1115A" w:rsidRDefault="001828DE" w:rsidP="003452C6">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72212215" w14:textId="77777777" w:rsidR="001828DE" w:rsidRPr="00A1115A" w:rsidRDefault="001828DE" w:rsidP="003452C6">
            <w:pPr>
              <w:pStyle w:val="TAC"/>
            </w:pPr>
            <w:r w:rsidRPr="00A1115A">
              <w:t xml:space="preserve">≤ </w:t>
            </w:r>
            <w:r w:rsidRPr="00A1115A">
              <w:rPr>
                <w:lang w:val="en-CA"/>
              </w:rPr>
              <w:t>2</w:t>
            </w:r>
          </w:p>
        </w:tc>
      </w:tr>
      <w:tr w:rsidR="001828DE" w:rsidRPr="00A1115A" w14:paraId="6553AED2" w14:textId="77777777" w:rsidTr="003452C6">
        <w:trPr>
          <w:trHeight w:val="187"/>
        </w:trPr>
        <w:tc>
          <w:tcPr>
            <w:tcW w:w="1072" w:type="dxa"/>
            <w:tcBorders>
              <w:top w:val="nil"/>
              <w:left w:val="single" w:sz="4" w:space="0" w:color="auto"/>
              <w:bottom w:val="nil"/>
              <w:right w:val="single" w:sz="4" w:space="0" w:color="auto"/>
            </w:tcBorders>
            <w:shd w:val="clear" w:color="auto" w:fill="auto"/>
            <w:hideMark/>
          </w:tcPr>
          <w:p w14:paraId="41F9EA57" w14:textId="77777777" w:rsidR="001828DE" w:rsidRPr="00A1115A" w:rsidRDefault="001828DE" w:rsidP="003452C6">
            <w:pPr>
              <w:pStyle w:val="TAC"/>
            </w:pPr>
          </w:p>
        </w:tc>
        <w:tc>
          <w:tcPr>
            <w:tcW w:w="1560" w:type="dxa"/>
            <w:tcBorders>
              <w:top w:val="single" w:sz="4" w:space="0" w:color="auto"/>
              <w:left w:val="single" w:sz="4" w:space="0" w:color="auto"/>
              <w:bottom w:val="single" w:sz="4" w:space="0" w:color="auto"/>
              <w:right w:val="single" w:sz="4" w:space="0" w:color="auto"/>
            </w:tcBorders>
          </w:tcPr>
          <w:p w14:paraId="2B9FE9F1" w14:textId="77777777" w:rsidR="001828DE" w:rsidRPr="00A1115A" w:rsidRDefault="001828DE" w:rsidP="003452C6">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0DE9054" w14:textId="77777777" w:rsidR="001828DE" w:rsidRPr="00A1115A" w:rsidRDefault="001828DE" w:rsidP="003452C6">
            <w:pPr>
              <w:pStyle w:val="TAC"/>
            </w:pPr>
            <w:r w:rsidRPr="00A1115A">
              <w:t xml:space="preserve">≤ </w:t>
            </w:r>
            <w:r w:rsidRPr="00A1115A">
              <w:rPr>
                <w:lang w:val="en-CA"/>
              </w:rPr>
              <w:t>3.5</w:t>
            </w:r>
          </w:p>
        </w:tc>
      </w:tr>
      <w:tr w:rsidR="001828DE" w:rsidRPr="00A1115A" w14:paraId="3DF419A5" w14:textId="77777777" w:rsidTr="003452C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66692FE" w14:textId="77777777" w:rsidR="001828DE" w:rsidRPr="00A1115A" w:rsidRDefault="001828DE" w:rsidP="003452C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21F8E9" w14:textId="77777777" w:rsidR="001828DE" w:rsidRPr="00A1115A" w:rsidRDefault="001828DE" w:rsidP="003452C6">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A56C5EF" w14:textId="77777777" w:rsidR="001828DE" w:rsidRPr="00A1115A" w:rsidRDefault="001828DE" w:rsidP="003452C6">
            <w:pPr>
              <w:pStyle w:val="TAC"/>
            </w:pPr>
            <w:r w:rsidRPr="00A1115A">
              <w:t xml:space="preserve">≤ </w:t>
            </w:r>
            <w:r w:rsidRPr="00A1115A">
              <w:rPr>
                <w:lang w:val="en-CA"/>
              </w:rPr>
              <w:t>6.5</w:t>
            </w:r>
          </w:p>
        </w:tc>
      </w:tr>
      <w:tr w:rsidR="001828DE" w:rsidRPr="00A1115A" w14:paraId="2656F9DE" w14:textId="77777777" w:rsidTr="003452C6">
        <w:tc>
          <w:tcPr>
            <w:tcW w:w="9577" w:type="dxa"/>
            <w:gridSpan w:val="5"/>
            <w:tcBorders>
              <w:top w:val="single" w:sz="4" w:space="0" w:color="auto"/>
              <w:left w:val="single" w:sz="4" w:space="0" w:color="auto"/>
              <w:bottom w:val="single" w:sz="4" w:space="0" w:color="auto"/>
              <w:right w:val="single" w:sz="4" w:space="0" w:color="auto"/>
            </w:tcBorders>
          </w:tcPr>
          <w:p w14:paraId="5888B524" w14:textId="77777777" w:rsidR="001828DE" w:rsidRPr="00A1115A" w:rsidRDefault="001828DE" w:rsidP="003452C6">
            <w:pPr>
              <w:pStyle w:val="TAN"/>
            </w:pPr>
            <w:r w:rsidRPr="00A1115A">
              <w:t>NOTE 1:</w:t>
            </w:r>
            <w:r w:rsidRPr="00A1115A">
              <w:tab/>
              <w:t xml:space="preserve">Applicable for UE operating in TDD mode with Pi/2 BPSK modulation and </w:t>
            </w:r>
            <w:bookmarkStart w:id="12" w:name="_Hlk525291220"/>
            <w:r w:rsidRPr="00A1115A">
              <w:t xml:space="preserve">UE indicates support for UE capability </w:t>
            </w:r>
            <w:r w:rsidRPr="00A1115A">
              <w:rPr>
                <w:i/>
                <w:lang w:val="en-US"/>
              </w:rPr>
              <w:t>powerBoosting-pi2BPSK</w:t>
            </w:r>
            <w:r w:rsidRPr="00A1115A" w:rsidDel="00B4601F">
              <w:rPr>
                <w:i/>
              </w:rPr>
              <w:t xml:space="preserve"> </w:t>
            </w:r>
            <w:bookmarkEnd w:id="12"/>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F9A1CFE" w14:textId="77777777" w:rsidR="001828DE" w:rsidRPr="00A1115A" w:rsidRDefault="001828DE" w:rsidP="003452C6">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07B5A23E" w14:textId="57E7A27B" w:rsidR="001828DE" w:rsidRDefault="001828DE" w:rsidP="00E37797"/>
    <w:p w14:paraId="6C512525" w14:textId="2C11FD81" w:rsidR="005855B4" w:rsidRDefault="002B62FD" w:rsidP="00E37797">
      <w:r>
        <w:t xml:space="preserve">Common </w:t>
      </w:r>
      <w:r w:rsidR="009D79E0">
        <w:t xml:space="preserve">MPR simulation assumption </w:t>
      </w:r>
      <w:r>
        <w:t xml:space="preserve">for various MPR reduction techniques </w:t>
      </w:r>
      <w:r w:rsidR="009D79E0">
        <w:t>could be as listed in Table 1 below</w:t>
      </w:r>
    </w:p>
    <w:p w14:paraId="19A6AE46" w14:textId="2A786DCD" w:rsidR="00765F97" w:rsidRDefault="00765F97" w:rsidP="00E37797"/>
    <w:p w14:paraId="6919180E" w14:textId="5ECC4622" w:rsidR="00765F97" w:rsidRDefault="00765F97" w:rsidP="00765F97">
      <w:pPr>
        <w:ind w:firstLine="720"/>
      </w:pPr>
      <w:r>
        <w:t xml:space="preserve">Table 1: </w:t>
      </w:r>
      <w:r w:rsidR="008A7EDE">
        <w:t xml:space="preserve">Common </w:t>
      </w:r>
      <w:r>
        <w:t xml:space="preserve">MPR </w:t>
      </w:r>
      <w:r w:rsidR="008A7EDE">
        <w:t xml:space="preserve">reduction </w:t>
      </w:r>
      <w:r>
        <w:t>assumption</w:t>
      </w:r>
      <w:r w:rsidR="008A7EDE">
        <w:t>s</w:t>
      </w:r>
      <w:r>
        <w:t xml:space="preserve"> </w:t>
      </w:r>
      <w:r w:rsidR="00CB2CA3">
        <w:t>for RF simulations</w:t>
      </w:r>
    </w:p>
    <w:tbl>
      <w:tblPr>
        <w:tblStyle w:val="TableGrid"/>
        <w:tblW w:w="0" w:type="auto"/>
        <w:tblLook w:val="04A0" w:firstRow="1" w:lastRow="0" w:firstColumn="1" w:lastColumn="0" w:noHBand="0" w:noVBand="1"/>
      </w:tblPr>
      <w:tblGrid>
        <w:gridCol w:w="4812"/>
        <w:gridCol w:w="4817"/>
      </w:tblGrid>
      <w:tr w:rsidR="0019788F" w14:paraId="10932F73" w14:textId="77777777" w:rsidTr="003452C6">
        <w:tc>
          <w:tcPr>
            <w:tcW w:w="4812" w:type="dxa"/>
          </w:tcPr>
          <w:p w14:paraId="1CFBEB75" w14:textId="77777777" w:rsidR="0028501F" w:rsidRPr="00540DD2" w:rsidRDefault="0028501F" w:rsidP="003452C6">
            <w:pPr>
              <w:keepNext/>
              <w:spacing w:after="0"/>
              <w:rPr>
                <w:b/>
                <w:bCs/>
              </w:rPr>
            </w:pPr>
            <w:r w:rsidRPr="00540DD2">
              <w:rPr>
                <w:b/>
                <w:bCs/>
              </w:rPr>
              <w:t xml:space="preserve">Parameter </w:t>
            </w:r>
          </w:p>
        </w:tc>
        <w:tc>
          <w:tcPr>
            <w:tcW w:w="4817" w:type="dxa"/>
          </w:tcPr>
          <w:p w14:paraId="07849D9B" w14:textId="77777777" w:rsidR="0028501F" w:rsidRPr="00540DD2" w:rsidRDefault="0028501F" w:rsidP="003452C6">
            <w:pPr>
              <w:keepNext/>
              <w:spacing w:after="0"/>
              <w:rPr>
                <w:b/>
                <w:bCs/>
              </w:rPr>
            </w:pPr>
            <w:r w:rsidRPr="00540DD2">
              <w:rPr>
                <w:b/>
                <w:bCs/>
              </w:rPr>
              <w:t>Value</w:t>
            </w:r>
          </w:p>
        </w:tc>
      </w:tr>
      <w:tr w:rsidR="0019788F" w14:paraId="32695F31" w14:textId="77777777" w:rsidTr="003452C6">
        <w:tc>
          <w:tcPr>
            <w:tcW w:w="4812" w:type="dxa"/>
          </w:tcPr>
          <w:p w14:paraId="3F43051F" w14:textId="77777777" w:rsidR="0028501F" w:rsidRPr="00540DD2" w:rsidRDefault="0028501F" w:rsidP="003452C6">
            <w:pPr>
              <w:keepNext/>
              <w:spacing w:after="0"/>
            </w:pPr>
            <w:r w:rsidRPr="00540DD2">
              <w:t xml:space="preserve">Filter coefficient </w:t>
            </w:r>
          </w:p>
        </w:tc>
        <w:tc>
          <w:tcPr>
            <w:tcW w:w="4817" w:type="dxa"/>
          </w:tcPr>
          <w:p w14:paraId="0928519A" w14:textId="77777777" w:rsidR="0028501F" w:rsidRPr="00B57367" w:rsidRDefault="0028501F" w:rsidP="003452C6">
            <w:pPr>
              <w:keepNext/>
              <w:spacing w:after="0"/>
            </w:pPr>
            <w:r w:rsidRPr="00B57367">
              <w:t>TBD (may vary according to MPR reduction scheme)</w:t>
            </w:r>
          </w:p>
        </w:tc>
      </w:tr>
      <w:tr w:rsidR="0019788F" w14:paraId="5018AA00" w14:textId="77777777" w:rsidTr="003452C6">
        <w:tc>
          <w:tcPr>
            <w:tcW w:w="4812" w:type="dxa"/>
          </w:tcPr>
          <w:p w14:paraId="2C84E91A" w14:textId="77777777" w:rsidR="0028501F" w:rsidRPr="00540DD2" w:rsidRDefault="0028501F" w:rsidP="003452C6">
            <w:pPr>
              <w:keepNext/>
              <w:spacing w:after="0"/>
            </w:pPr>
            <w:r w:rsidRPr="00540DD2">
              <w:t>Modulation scheme</w:t>
            </w:r>
          </w:p>
        </w:tc>
        <w:tc>
          <w:tcPr>
            <w:tcW w:w="4817" w:type="dxa"/>
          </w:tcPr>
          <w:p w14:paraId="01EF603E" w14:textId="77777777" w:rsidR="0028501F" w:rsidRPr="00B57367" w:rsidRDefault="0028501F" w:rsidP="003452C6">
            <w:pPr>
              <w:keepNext/>
              <w:spacing w:after="0"/>
            </w:pPr>
            <w:r w:rsidRPr="00B57367">
              <w:t>QPSK, 16QAM, [64QAM and 256QAM]</w:t>
            </w:r>
          </w:p>
        </w:tc>
      </w:tr>
      <w:tr w:rsidR="0019788F" w14:paraId="47728C6E" w14:textId="77777777" w:rsidTr="003452C6">
        <w:tc>
          <w:tcPr>
            <w:tcW w:w="4812" w:type="dxa"/>
          </w:tcPr>
          <w:p w14:paraId="1470D91A" w14:textId="77777777" w:rsidR="0028501F" w:rsidRPr="00540DD2" w:rsidRDefault="0028501F" w:rsidP="003452C6">
            <w:pPr>
              <w:keepNext/>
              <w:spacing w:after="0"/>
            </w:pPr>
            <w:r w:rsidRPr="00540DD2">
              <w:t>Waveform</w:t>
            </w:r>
          </w:p>
        </w:tc>
        <w:tc>
          <w:tcPr>
            <w:tcW w:w="4817" w:type="dxa"/>
          </w:tcPr>
          <w:p w14:paraId="48456514" w14:textId="77777777" w:rsidR="0028501F" w:rsidRPr="00B57367" w:rsidRDefault="0028501F" w:rsidP="003452C6">
            <w:pPr>
              <w:keepNext/>
              <w:spacing w:after="0"/>
            </w:pPr>
            <w:r w:rsidRPr="00B57367">
              <w:t>DFT-s-OFDM</w:t>
            </w:r>
          </w:p>
        </w:tc>
      </w:tr>
      <w:tr w:rsidR="0019788F" w14:paraId="0DF13689" w14:textId="77777777" w:rsidTr="003452C6">
        <w:tc>
          <w:tcPr>
            <w:tcW w:w="4812" w:type="dxa"/>
            <w:vAlign w:val="center"/>
          </w:tcPr>
          <w:p w14:paraId="211E4813" w14:textId="77777777" w:rsidR="0028501F" w:rsidRPr="00540DD2" w:rsidRDefault="0028501F" w:rsidP="003452C6">
            <w:pPr>
              <w:keepNext/>
              <w:spacing w:after="0"/>
            </w:pPr>
            <w:r w:rsidRPr="00540DD2">
              <w:t xml:space="preserve">Carrier </w:t>
            </w:r>
            <w:r w:rsidRPr="0023705D">
              <w:t>frequency</w:t>
            </w:r>
            <w:r w:rsidRPr="00540DD2">
              <w:t xml:space="preserve"> and duplex mode</w:t>
            </w:r>
          </w:p>
        </w:tc>
        <w:tc>
          <w:tcPr>
            <w:tcW w:w="4817" w:type="dxa"/>
            <w:vAlign w:val="center"/>
          </w:tcPr>
          <w:p w14:paraId="21BFC949" w14:textId="77777777" w:rsidR="0028501F" w:rsidRPr="00540DD2" w:rsidRDefault="0028501F" w:rsidP="003452C6">
            <w:pPr>
              <w:keepNext/>
              <w:spacing w:before="20" w:after="20" w:line="276" w:lineRule="auto"/>
            </w:pPr>
            <w:r w:rsidRPr="0023705D">
              <w:t>700MHz (FDD)</w:t>
            </w:r>
            <w:r w:rsidRPr="00540DD2">
              <w:t xml:space="preserve">, </w:t>
            </w:r>
            <w:r w:rsidRPr="0023705D">
              <w:t>4GHz (TDD)</w:t>
            </w:r>
            <w:r w:rsidRPr="00540DD2">
              <w:t>,</w:t>
            </w:r>
            <w:r w:rsidRPr="0023705D">
              <w:t xml:space="preserve"> </w:t>
            </w:r>
            <w:r w:rsidRPr="00540DD2">
              <w:t>28</w:t>
            </w:r>
            <w:r w:rsidRPr="0023705D">
              <w:t>GHz (TDD)</w:t>
            </w:r>
          </w:p>
        </w:tc>
      </w:tr>
      <w:tr w:rsidR="0019788F" w14:paraId="5C2C32BE" w14:textId="77777777" w:rsidTr="003452C6">
        <w:tc>
          <w:tcPr>
            <w:tcW w:w="4812" w:type="dxa"/>
          </w:tcPr>
          <w:p w14:paraId="05A13188" w14:textId="77777777" w:rsidR="0028501F" w:rsidRPr="00540DD2" w:rsidRDefault="0028501F" w:rsidP="003452C6">
            <w:pPr>
              <w:keepNext/>
              <w:spacing w:after="0"/>
            </w:pPr>
            <w:r w:rsidRPr="00540DD2">
              <w:t>Subcarrier spacing</w:t>
            </w:r>
          </w:p>
        </w:tc>
        <w:tc>
          <w:tcPr>
            <w:tcW w:w="4817" w:type="dxa"/>
          </w:tcPr>
          <w:p w14:paraId="13F5F212" w14:textId="77777777" w:rsidR="0028501F" w:rsidRPr="00B57367" w:rsidRDefault="0028501F" w:rsidP="003452C6">
            <w:pPr>
              <w:keepNext/>
              <w:spacing w:after="0"/>
            </w:pPr>
            <w:r w:rsidRPr="00B57367">
              <w:t>700MHz: 15 kHz, 4GHz: 30 kHz, 28GHz: 120 kHz</w:t>
            </w:r>
          </w:p>
        </w:tc>
      </w:tr>
      <w:tr w:rsidR="0019788F" w14:paraId="4D009B43" w14:textId="77777777" w:rsidTr="003452C6">
        <w:tc>
          <w:tcPr>
            <w:tcW w:w="4812" w:type="dxa"/>
          </w:tcPr>
          <w:p w14:paraId="06AE19B5" w14:textId="77777777" w:rsidR="00B32433" w:rsidRPr="00540DD2" w:rsidRDefault="00B32433" w:rsidP="00B32433">
            <w:pPr>
              <w:keepNext/>
              <w:spacing w:after="0"/>
            </w:pPr>
            <w:r w:rsidRPr="00540DD2">
              <w:t>System Bandwidth</w:t>
            </w:r>
          </w:p>
        </w:tc>
        <w:tc>
          <w:tcPr>
            <w:tcW w:w="4817" w:type="dxa"/>
          </w:tcPr>
          <w:p w14:paraId="601CE0CF" w14:textId="5DC4440B" w:rsidR="00B32433" w:rsidRPr="00540DD2" w:rsidRDefault="00B32433" w:rsidP="00B32433">
            <w:pPr>
              <w:keepNext/>
              <w:spacing w:after="0"/>
            </w:pPr>
            <w:r w:rsidRPr="00540DD2">
              <w:t xml:space="preserve">50MHz, </w:t>
            </w:r>
            <w:r w:rsidRPr="00B57367">
              <w:t>100MHz, 200MHz, 400MHz</w:t>
            </w:r>
          </w:p>
        </w:tc>
      </w:tr>
      <w:tr w:rsidR="0019788F" w14:paraId="4517503E" w14:textId="77777777" w:rsidTr="003452C6">
        <w:tc>
          <w:tcPr>
            <w:tcW w:w="4812" w:type="dxa"/>
          </w:tcPr>
          <w:p w14:paraId="69C47F05" w14:textId="77777777" w:rsidR="00B32433" w:rsidRPr="00540DD2" w:rsidRDefault="00B32433" w:rsidP="00B32433">
            <w:pPr>
              <w:keepNext/>
              <w:spacing w:after="0"/>
            </w:pPr>
            <w:r w:rsidRPr="00540DD2">
              <w:t>Number of RBs and starting RB</w:t>
            </w:r>
          </w:p>
        </w:tc>
        <w:tc>
          <w:tcPr>
            <w:tcW w:w="4817" w:type="dxa"/>
          </w:tcPr>
          <w:p w14:paraId="3249D8AE" w14:textId="77777777" w:rsidR="00B32433" w:rsidRPr="00B57367" w:rsidRDefault="00B32433" w:rsidP="00B32433">
            <w:pPr>
              <w:keepNext/>
              <w:spacing w:after="0"/>
            </w:pPr>
            <w:r w:rsidRPr="00B57367">
              <w:t>Sweep different combination</w:t>
            </w:r>
          </w:p>
        </w:tc>
      </w:tr>
      <w:tr w:rsidR="0019788F" w14:paraId="16C64D19" w14:textId="77777777" w:rsidTr="003452C6">
        <w:tc>
          <w:tcPr>
            <w:tcW w:w="4812" w:type="dxa"/>
          </w:tcPr>
          <w:p w14:paraId="663867E3" w14:textId="77777777" w:rsidR="00B32433" w:rsidRPr="00540DD2" w:rsidRDefault="00B32433" w:rsidP="00B32433">
            <w:pPr>
              <w:keepNext/>
              <w:overflowPunct w:val="0"/>
              <w:autoSpaceDE w:val="0"/>
              <w:autoSpaceDN w:val="0"/>
              <w:adjustRightInd w:val="0"/>
              <w:spacing w:after="0"/>
              <w:textAlignment w:val="baseline"/>
              <w:rPr>
                <w:lang w:val="en-US"/>
              </w:rPr>
            </w:pPr>
            <w:r w:rsidRPr="0023705D">
              <w:rPr>
                <w:rFonts w:eastAsia="Times New Roman"/>
                <w:lang w:val="en-US"/>
              </w:rPr>
              <w:t>Counter-IM3</w:t>
            </w:r>
          </w:p>
        </w:tc>
        <w:tc>
          <w:tcPr>
            <w:tcW w:w="4817" w:type="dxa"/>
          </w:tcPr>
          <w:p w14:paraId="1CF656B8" w14:textId="77777777" w:rsidR="00B32433" w:rsidRPr="00540DD2" w:rsidRDefault="00B32433" w:rsidP="00B32433">
            <w:pPr>
              <w:keepNext/>
              <w:spacing w:after="0"/>
            </w:pPr>
            <w:r w:rsidRPr="0023705D">
              <w:rPr>
                <w:rFonts w:eastAsia="Times New Roman"/>
                <w:lang w:val="en-US"/>
              </w:rPr>
              <w:t>60 dB</w:t>
            </w:r>
          </w:p>
        </w:tc>
      </w:tr>
    </w:tbl>
    <w:p w14:paraId="70C5796B" w14:textId="77777777" w:rsidR="00190B45" w:rsidRDefault="00190B45" w:rsidP="0023705D">
      <w:bookmarkStart w:id="13" w:name="_Ref115159812"/>
    </w:p>
    <w:p w14:paraId="0DD45DA9" w14:textId="55665A9F" w:rsidR="00F371C8" w:rsidRDefault="00F371C8" w:rsidP="007C77B4">
      <w:pPr>
        <w:pStyle w:val="Proposal"/>
      </w:pPr>
      <w:bookmarkStart w:id="14" w:name="_Ref115454448"/>
      <w:r>
        <w:t>Discuss the simulation assumption parameter</w:t>
      </w:r>
      <w:r w:rsidR="003C15C3">
        <w:t>s</w:t>
      </w:r>
      <w:r>
        <w:t xml:space="preserve"> in Table</w:t>
      </w:r>
      <w:r w:rsidR="003C15C3">
        <w:t>s</w:t>
      </w:r>
      <w:r>
        <w:t xml:space="preserve"> 1.</w:t>
      </w:r>
      <w:bookmarkEnd w:id="13"/>
      <w:bookmarkEnd w:id="14"/>
    </w:p>
    <w:p w14:paraId="3095A319" w14:textId="6C174DAD" w:rsidR="00587CD4" w:rsidRPr="0023705D" w:rsidRDefault="00587CD4" w:rsidP="0023705D">
      <w:pPr>
        <w:pStyle w:val="Proposal"/>
        <w:numPr>
          <w:ilvl w:val="0"/>
          <w:numId w:val="0"/>
        </w:numPr>
        <w:ind w:left="360" w:hanging="360"/>
        <w:rPr>
          <w:b w:val="0"/>
          <w:bCs/>
        </w:rPr>
      </w:pPr>
      <w:r>
        <w:rPr>
          <w:b w:val="0"/>
          <w:bCs/>
        </w:rPr>
        <w:t>The link level setups from the Rel-17 NR coverage enhancement study could be used as a starting point.  The configuration for lower data rate services such as VoIP could be one appealing setup to use, as well as higher data rates and MCS states.</w:t>
      </w:r>
    </w:p>
    <w:p w14:paraId="1BAB77CD" w14:textId="550BDE8E" w:rsidR="00587CD4" w:rsidRPr="00E37797" w:rsidRDefault="00587CD4" w:rsidP="00F371C8">
      <w:pPr>
        <w:pStyle w:val="Proposal"/>
      </w:pPr>
      <w:bookmarkStart w:id="15" w:name="_Ref115439249"/>
      <w:r w:rsidRPr="00587CD4">
        <w:t>Remaining parameters not given by Table</w:t>
      </w:r>
      <w:r>
        <w:t>s</w:t>
      </w:r>
      <w:r w:rsidRPr="00587CD4">
        <w:t xml:space="preserve"> 1</w:t>
      </w:r>
      <w:r>
        <w:t>-3</w:t>
      </w:r>
      <w:r w:rsidRPr="00587CD4">
        <w:t xml:space="preserve"> that are needed for the link level simulations can be taken from the Rel-17 NR coverage enhancement TR 38.830, appendices A.1 and A.2.</w:t>
      </w:r>
      <w:bookmarkEnd w:id="15"/>
    </w:p>
    <w:p w14:paraId="57022FC3" w14:textId="77777777" w:rsidR="00E2572C" w:rsidRPr="00F102E6" w:rsidRDefault="00E2572C" w:rsidP="00E2572C">
      <w:pPr>
        <w:pStyle w:val="Heading1"/>
      </w:pPr>
      <w:r w:rsidRPr="00F102E6">
        <w:t>Conclusions</w:t>
      </w:r>
    </w:p>
    <w:p w14:paraId="09EF2AA1" w14:textId="689A66E9"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remaining</w:t>
      </w:r>
      <w:r w:rsidR="000E5643">
        <w:t xml:space="preserve"> </w:t>
      </w:r>
      <w:r w:rsidR="00DD624C">
        <w:t xml:space="preserve">RF requirement overview for </w:t>
      </w:r>
      <w:r w:rsidR="000B028D">
        <w:t xml:space="preserve">IoT UE </w:t>
      </w:r>
      <w:r w:rsidR="00760997" w:rsidRPr="00F102E6">
        <w:t xml:space="preserve">with below </w:t>
      </w:r>
      <w:r w:rsidR="0023099F">
        <w:t xml:space="preserve">observations and </w:t>
      </w:r>
      <w:r w:rsidR="00760997" w:rsidRPr="00F102E6">
        <w:t>proposal</w:t>
      </w:r>
      <w:r w:rsidR="00EC26F1">
        <w:t>s</w:t>
      </w:r>
      <w:r w:rsidR="00760997" w:rsidRPr="00F102E6">
        <w:t>:</w:t>
      </w:r>
    </w:p>
    <w:p w14:paraId="1E537268" w14:textId="026DF150" w:rsidR="0041271E" w:rsidRDefault="00377274" w:rsidP="009F5C86">
      <w:r>
        <w:fldChar w:fldCharType="begin"/>
      </w:r>
      <w:r>
        <w:instrText xml:space="preserve"> REF _Ref115438912 \n \h </w:instrText>
      </w:r>
      <w:r>
        <w:fldChar w:fldCharType="separate"/>
      </w:r>
      <w:r>
        <w:t>Observation 1</w:t>
      </w:r>
      <w:r>
        <w:fldChar w:fldCharType="end"/>
      </w:r>
      <w:r>
        <w:t xml:space="preserve"> </w:t>
      </w:r>
      <w:r>
        <w:fldChar w:fldCharType="begin"/>
      </w:r>
      <w:r>
        <w:instrText xml:space="preserve"> REF _Ref115438912 \h </w:instrText>
      </w:r>
      <w:r>
        <w:fldChar w:fldCharType="separate"/>
      </w:r>
      <w:r>
        <w:t>Transparent MPR reduction schemes allow immediate improvements in UE PA efficiency and/or network coverage, rather than waiting for the network to be upgraded to support a non-transparent scheme.</w:t>
      </w:r>
      <w:r>
        <w:fldChar w:fldCharType="end"/>
      </w:r>
      <w:r>
        <w:t xml:space="preserve"> </w:t>
      </w:r>
    </w:p>
    <w:p w14:paraId="7EA6D23F" w14:textId="1D07790D" w:rsidR="00377274" w:rsidRDefault="00377274" w:rsidP="009F5C86">
      <w:r>
        <w:fldChar w:fldCharType="begin"/>
      </w:r>
      <w:r>
        <w:instrText xml:space="preserve"> REF _Ref115438925 \n \h </w:instrText>
      </w:r>
      <w:r>
        <w:fldChar w:fldCharType="separate"/>
      </w:r>
      <w:r>
        <w:t>Observation 2</w:t>
      </w:r>
      <w:r>
        <w:fldChar w:fldCharType="end"/>
      </w:r>
      <w:r>
        <w:t xml:space="preserve"> </w:t>
      </w:r>
      <w:r>
        <w:fldChar w:fldCharType="begin"/>
      </w:r>
      <w:r>
        <w:instrText xml:space="preserve"> REF _Ref115438925 \h </w:instrText>
      </w:r>
      <w:r>
        <w:fldChar w:fldCharType="separate"/>
      </w:r>
      <w:r>
        <w:t>Transparent MPR reduction schemes allow flexible UE implementation, where the UE can dynamically adapt to power requirements and/or channel conditions, without intervention by the network.</w:t>
      </w:r>
      <w:r>
        <w:fldChar w:fldCharType="end"/>
      </w:r>
    </w:p>
    <w:p w14:paraId="335D3845" w14:textId="2FBCA6DC" w:rsidR="00377274" w:rsidRDefault="00377274" w:rsidP="009F5C86">
      <w:r>
        <w:lastRenderedPageBreak/>
        <w:fldChar w:fldCharType="begin"/>
      </w:r>
      <w:r>
        <w:instrText xml:space="preserve"> REF _Ref115438935 \n \h </w:instrText>
      </w:r>
      <w:r>
        <w:fldChar w:fldCharType="separate"/>
      </w:r>
      <w:r>
        <w:t>Observation 3</w:t>
      </w:r>
      <w:r>
        <w:fldChar w:fldCharType="end"/>
      </w:r>
      <w:r>
        <w:t xml:space="preserve"> </w:t>
      </w:r>
      <w:r>
        <w:fldChar w:fldCharType="begin"/>
      </w:r>
      <w:r>
        <w:instrText xml:space="preserve"> REF _Ref115438935 \h </w:instrText>
      </w:r>
      <w:r>
        <w:fldChar w:fldCharType="separate"/>
      </w:r>
      <w:proofErr w:type="gramStart"/>
      <w:r>
        <w:t>Non-transparent</w:t>
      </w:r>
      <w:proofErr w:type="gramEnd"/>
      <w:r>
        <w:t xml:space="preserve"> schemes are being studied because the extra degrees of freedom in the design as compared to transparent schemes may allow for better MPR reduction.</w:t>
      </w:r>
      <w:r>
        <w:fldChar w:fldCharType="end"/>
      </w:r>
    </w:p>
    <w:p w14:paraId="5F653CD8" w14:textId="4F5CEE24" w:rsidR="00377274" w:rsidRDefault="00377274" w:rsidP="009F5C86">
      <w:r>
        <w:fldChar w:fldCharType="begin"/>
      </w:r>
      <w:r>
        <w:instrText xml:space="preserve"> REF _Ref115439046 \n \h </w:instrText>
      </w:r>
      <w:r>
        <w:fldChar w:fldCharType="separate"/>
      </w:r>
      <w:r>
        <w:t>Proposal-1:</w:t>
      </w:r>
      <w:r>
        <w:fldChar w:fldCharType="end"/>
      </w:r>
      <w:r>
        <w:fldChar w:fldCharType="begin"/>
      </w:r>
      <w:r>
        <w:instrText xml:space="preserve"> REF _Ref115439046 \h </w:instrText>
      </w:r>
      <w:r>
        <w:fldChar w:fldCharType="separate"/>
      </w:r>
      <w:r>
        <w:t>Transparent MPR reduction schemes are baselines to which non-transparent schemes are compared</w:t>
      </w:r>
      <w:r>
        <w:fldChar w:fldCharType="end"/>
      </w:r>
      <w:r>
        <w:t>.</w:t>
      </w:r>
    </w:p>
    <w:p w14:paraId="23DC8B1B" w14:textId="6F91247C" w:rsidR="00377274" w:rsidRDefault="00377274" w:rsidP="009F5C86">
      <w:r>
        <w:fldChar w:fldCharType="begin"/>
      </w:r>
      <w:r>
        <w:instrText xml:space="preserve"> REF _Ref115439061 \r \h </w:instrText>
      </w:r>
      <w:r>
        <w:fldChar w:fldCharType="separate"/>
      </w:r>
      <w:r>
        <w:t>Proposal-2:</w:t>
      </w:r>
      <w:r>
        <w:fldChar w:fldCharType="end"/>
      </w:r>
      <w:r>
        <w:fldChar w:fldCharType="begin"/>
      </w:r>
      <w:r>
        <w:instrText xml:space="preserve"> REF _Ref115439061 \h </w:instrText>
      </w:r>
      <w:r>
        <w:fldChar w:fldCharType="separate"/>
      </w:r>
      <w:r>
        <w:t xml:space="preserve">Candidate transparent MPR reduction schemes to consider include clipping and filtering, </w:t>
      </w:r>
      <w:proofErr w:type="spellStart"/>
      <w:r>
        <w:t>companding</w:t>
      </w:r>
      <w:proofErr w:type="spellEnd"/>
      <w:r>
        <w:t>, and digital predistortion</w:t>
      </w:r>
      <w:r>
        <w:fldChar w:fldCharType="end"/>
      </w:r>
      <w:r>
        <w:t>.</w:t>
      </w:r>
    </w:p>
    <w:p w14:paraId="428D0A1E" w14:textId="22CA9734" w:rsidR="00377274" w:rsidRDefault="0056641D" w:rsidP="009F5C86">
      <w:r>
        <w:fldChar w:fldCharType="begin"/>
      </w:r>
      <w:r>
        <w:instrText xml:space="preserve"> REF _Ref115159783 \r \h </w:instrText>
      </w:r>
      <w:r>
        <w:fldChar w:fldCharType="separate"/>
      </w:r>
      <w:r>
        <w:t>Proposal-3:</w:t>
      </w:r>
      <w:r>
        <w:fldChar w:fldCharType="end"/>
      </w:r>
      <w:r>
        <w:fldChar w:fldCharType="begin"/>
      </w:r>
      <w:r>
        <w:instrText xml:space="preserve"> REF _Ref115159783 \h </w:instrText>
      </w:r>
      <w:r>
        <w:fldChar w:fldCharType="separate"/>
      </w:r>
      <w:r>
        <w:t>The filter coefficient could be one simulation parameter to be discussed and agreed.</w:t>
      </w:r>
      <w:r>
        <w:fldChar w:fldCharType="end"/>
      </w:r>
    </w:p>
    <w:p w14:paraId="0C44495A" w14:textId="2AA015AE" w:rsidR="0056641D" w:rsidRDefault="0004053A" w:rsidP="009F5C86">
      <w:r>
        <w:fldChar w:fldCharType="begin"/>
      </w:r>
      <w:r>
        <w:instrText xml:space="preserve"> REF _Ref115159793 \r \h </w:instrText>
      </w:r>
      <w:r>
        <w:fldChar w:fldCharType="separate"/>
      </w:r>
      <w:r>
        <w:t>Proposal-4:</w:t>
      </w:r>
      <w:r>
        <w:fldChar w:fldCharType="end"/>
      </w:r>
      <w:r>
        <w:fldChar w:fldCharType="begin"/>
      </w:r>
      <w:r>
        <w:instrText xml:space="preserve"> REF _Ref115159793 \h </w:instrText>
      </w:r>
      <w:r>
        <w:fldChar w:fldCharType="separate"/>
      </w:r>
      <w:r>
        <w:t>Percentage and/or number of RBs used for the spectrum extension to be discussed and agreed.</w:t>
      </w:r>
      <w:r>
        <w:fldChar w:fldCharType="end"/>
      </w:r>
    </w:p>
    <w:p w14:paraId="55E49ACC" w14:textId="633DFBD3" w:rsidR="003D2998" w:rsidRDefault="003D2998" w:rsidP="003D2998">
      <w:r>
        <w:fldChar w:fldCharType="begin"/>
      </w:r>
      <w:r>
        <w:instrText xml:space="preserve"> REF _Ref115439171 \n \h </w:instrText>
      </w:r>
      <w:r>
        <w:fldChar w:fldCharType="separate"/>
      </w:r>
      <w:r>
        <w:t>Observation 4</w:t>
      </w:r>
      <w:r>
        <w:fldChar w:fldCharType="end"/>
      </w:r>
      <w:r>
        <w:t xml:space="preserve"> </w:t>
      </w:r>
      <w:r>
        <w:fldChar w:fldCharType="begin"/>
      </w:r>
      <w:r>
        <w:instrText xml:space="preserve"> REF _Ref115439171 \h </w:instrText>
      </w:r>
      <w:r>
        <w:fldChar w:fldCharType="separate"/>
      </w:r>
      <w:r>
        <w:t>Link simulation would be needed to compare the network gain for MPR reduction with spectrum extension</w:t>
      </w:r>
      <w:r>
        <w:fldChar w:fldCharType="end"/>
      </w:r>
      <w:r>
        <w:fldChar w:fldCharType="begin"/>
      </w:r>
      <w:r>
        <w:instrText xml:space="preserve"> REF _Ref115439213 \r \h </w:instrText>
      </w:r>
      <w:r>
        <w:fldChar w:fldCharType="separate"/>
      </w:r>
      <w:r>
        <w:t>Proposal-5:</w:t>
      </w:r>
      <w:r>
        <w:fldChar w:fldCharType="end"/>
      </w:r>
      <w:r>
        <w:fldChar w:fldCharType="begin"/>
      </w:r>
      <w:r>
        <w:instrText xml:space="preserve"> REF _Ref115439213 \h </w:instrText>
      </w:r>
      <w:r>
        <w:fldChar w:fldCharType="separate"/>
      </w:r>
      <w:r>
        <w:t>Compare schemes at the link level using a same amount of time-frequency resource and at a same spectral efficiency, and assuming Rel-17 resource allocation mechanisms.</w:t>
      </w:r>
      <w:r>
        <w:fldChar w:fldCharType="end"/>
      </w:r>
    </w:p>
    <w:p w14:paraId="1E789A71" w14:textId="67362FD7" w:rsidR="003D2998" w:rsidRDefault="003D2998" w:rsidP="003D2998">
      <w:r>
        <w:fldChar w:fldCharType="begin"/>
      </w:r>
      <w:r>
        <w:instrText xml:space="preserve"> REF _Ref115159801 \r \h </w:instrText>
      </w:r>
      <w:r>
        <w:fldChar w:fldCharType="separate"/>
      </w:r>
      <w:r>
        <w:t>Proposal-6:</w:t>
      </w:r>
      <w:r>
        <w:fldChar w:fldCharType="end"/>
      </w:r>
      <w:r>
        <w:fldChar w:fldCharType="begin"/>
      </w:r>
      <w:r>
        <w:instrText xml:space="preserve"> REF _Ref115159801 \h </w:instrText>
      </w:r>
      <w:r>
        <w:fldChar w:fldCharType="separate"/>
      </w:r>
      <w:r>
        <w:t>Investigate if there are modulation scheme limitations for the MPR reduction scheme.</w:t>
      </w:r>
      <w:r>
        <w:fldChar w:fldCharType="end"/>
      </w:r>
    </w:p>
    <w:p w14:paraId="24D63668" w14:textId="63B57BBC" w:rsidR="008B6448" w:rsidRDefault="008B6448" w:rsidP="003D2998">
      <w:r>
        <w:fldChar w:fldCharType="begin"/>
      </w:r>
      <w:r>
        <w:instrText xml:space="preserve"> REF _Ref115454448 \r \h </w:instrText>
      </w:r>
      <w:r>
        <w:fldChar w:fldCharType="separate"/>
      </w:r>
      <w:r>
        <w:t>Proposal-7:</w:t>
      </w:r>
      <w:r>
        <w:fldChar w:fldCharType="end"/>
      </w:r>
      <w:r>
        <w:fldChar w:fldCharType="begin"/>
      </w:r>
      <w:r>
        <w:instrText xml:space="preserve"> REF _Ref115454448 \h </w:instrText>
      </w:r>
      <w:r>
        <w:fldChar w:fldCharType="separate"/>
      </w:r>
      <w:r>
        <w:t>Discuss the simulation assumption parameters in Tables 1.</w:t>
      </w:r>
      <w:r>
        <w:fldChar w:fldCharType="end"/>
      </w:r>
    </w:p>
    <w:p w14:paraId="1E81EAA7" w14:textId="238EACD6" w:rsidR="003D2998" w:rsidRDefault="003D2998" w:rsidP="003D2998">
      <w:r>
        <w:fldChar w:fldCharType="begin"/>
      </w:r>
      <w:r>
        <w:instrText xml:space="preserve"> REF _Ref115439249 \r \h </w:instrText>
      </w:r>
      <w:r>
        <w:fldChar w:fldCharType="separate"/>
      </w:r>
      <w:r>
        <w:t>Proposal-8:</w:t>
      </w:r>
      <w:r>
        <w:fldChar w:fldCharType="end"/>
      </w:r>
      <w:r>
        <w:fldChar w:fldCharType="begin"/>
      </w:r>
      <w:r>
        <w:instrText xml:space="preserve"> REF _Ref115439249 \h </w:instrText>
      </w:r>
      <w:r>
        <w:fldChar w:fldCharType="separate"/>
      </w:r>
      <w:r w:rsidRPr="00587CD4">
        <w:t>Remaining parameters not given by Table</w:t>
      </w:r>
      <w:r>
        <w:t>s</w:t>
      </w:r>
      <w:r w:rsidRPr="00587CD4">
        <w:t xml:space="preserve"> 1</w:t>
      </w:r>
      <w:r>
        <w:t>-3</w:t>
      </w:r>
      <w:r w:rsidRPr="00587CD4">
        <w:t xml:space="preserve"> that are needed for the link level simulations can be taken from the Rel-17 NR coverage enhancement TR 38.830, appendices A.1 and A.2.</w:t>
      </w:r>
      <w:r>
        <w:fldChar w:fldCharType="end"/>
      </w:r>
    </w:p>
    <w:p w14:paraId="13346F35" w14:textId="77777777" w:rsidR="00EC26F1" w:rsidRDefault="00EC26F1" w:rsidP="009F5C86"/>
    <w:p w14:paraId="2263E547" w14:textId="77777777" w:rsidR="009506E1" w:rsidRPr="00F102E6" w:rsidRDefault="009506E1" w:rsidP="009506E1">
      <w:pPr>
        <w:pStyle w:val="Heading1"/>
      </w:pPr>
      <w:r w:rsidRPr="00F102E6">
        <w:t>References</w:t>
      </w:r>
    </w:p>
    <w:p w14:paraId="06C34838" w14:textId="0A70E6E2" w:rsidR="00751760" w:rsidRPr="007E28A0" w:rsidRDefault="00751760" w:rsidP="00751760">
      <w:pPr>
        <w:pStyle w:val="Reference"/>
      </w:pPr>
      <w:bookmarkStart w:id="16" w:name="_Ref31185007"/>
      <w:bookmarkStart w:id="17" w:name="_Ref174151459"/>
      <w:bookmarkStart w:id="18" w:name="_Ref189809556"/>
      <w:r>
        <w:rPr>
          <w:rFonts w:eastAsia="Times New Roman"/>
          <w:color w:val="000000"/>
          <w:lang w:eastAsia="en-GB"/>
        </w:rPr>
        <w:t>China Telecom</w:t>
      </w:r>
      <w:r w:rsidRPr="003374ED">
        <w:rPr>
          <w:rFonts w:eastAsia="Times New Roman"/>
          <w:color w:val="000000"/>
          <w:lang w:eastAsia="en-GB"/>
        </w:rPr>
        <w:t>, “</w:t>
      </w:r>
      <w:r w:rsidRPr="0002644F">
        <w:rPr>
          <w:rFonts w:eastAsia="Times New Roman"/>
          <w:color w:val="000000"/>
          <w:lang w:eastAsia="en-GB"/>
        </w:rPr>
        <w:t>RP-221858</w:t>
      </w:r>
      <w:r w:rsidRPr="003374ED">
        <w:rPr>
          <w:rFonts w:eastAsia="Times New Roman"/>
          <w:color w:val="000000"/>
          <w:lang w:eastAsia="en-GB"/>
        </w:rPr>
        <w:t xml:space="preserve">, </w:t>
      </w:r>
      <w:r w:rsidRPr="0002644F">
        <w:rPr>
          <w:rFonts w:eastAsia="Times New Roman"/>
          <w:color w:val="000000"/>
          <w:lang w:eastAsia="en-GB"/>
        </w:rPr>
        <w:t>Revised WID on Further NR coverage enhancements</w:t>
      </w:r>
      <w:r w:rsidRPr="003374ED">
        <w:rPr>
          <w:rFonts w:eastAsia="Times New Roman"/>
          <w:color w:val="000000"/>
          <w:lang w:eastAsia="en-GB"/>
        </w:rPr>
        <w:t>,” 3GPP TSG RAN meeting #9</w:t>
      </w:r>
      <w:r>
        <w:rPr>
          <w:rFonts w:eastAsia="Times New Roman"/>
          <w:color w:val="000000"/>
          <w:lang w:eastAsia="en-GB"/>
        </w:rPr>
        <w:t>6</w:t>
      </w:r>
      <w:r w:rsidRPr="003374ED">
        <w:rPr>
          <w:rFonts w:eastAsia="Times New Roman"/>
          <w:color w:val="000000"/>
          <w:lang w:eastAsia="en-GB"/>
        </w:rPr>
        <w:t xml:space="preserve">, </w:t>
      </w:r>
      <w:r w:rsidRPr="0002644F">
        <w:rPr>
          <w:rFonts w:eastAsia="Times New Roman"/>
          <w:color w:val="000000"/>
          <w:lang w:eastAsia="en-GB"/>
        </w:rPr>
        <w:t>Budapest, Hungary, June 6-9, 2022</w:t>
      </w:r>
      <w:r w:rsidRPr="003374ED">
        <w:rPr>
          <w:rFonts w:eastAsia="Times New Roman"/>
          <w:color w:val="000000"/>
          <w:lang w:eastAsia="en-GB"/>
        </w:rPr>
        <w:t>.</w:t>
      </w:r>
      <w:bookmarkEnd w:id="16"/>
      <w:bookmarkEnd w:id="17"/>
      <w:bookmarkEnd w:id="18"/>
    </w:p>
    <w:p w14:paraId="28563529" w14:textId="00B80663" w:rsidR="00AD74F7" w:rsidRPr="007E28A0" w:rsidRDefault="00AD74F7" w:rsidP="003452C6">
      <w:pPr>
        <w:pStyle w:val="Reference"/>
      </w:pPr>
      <w:bookmarkStart w:id="19" w:name="_Ref115362883"/>
      <w:r w:rsidRPr="00AD74F7">
        <w:t xml:space="preserve">Y. </w:t>
      </w:r>
      <w:proofErr w:type="spellStart"/>
      <w:r w:rsidRPr="00AD74F7">
        <w:t>Rahmatallah</w:t>
      </w:r>
      <w:proofErr w:type="spellEnd"/>
      <w:r w:rsidRPr="00AD74F7">
        <w:t xml:space="preserve">, S. Mohan, “Peak-To-Average Power Ratio Reduction in OFDM Systems: A Survey </w:t>
      </w:r>
      <w:proofErr w:type="gramStart"/>
      <w:r w:rsidRPr="00AD74F7">
        <w:t>And</w:t>
      </w:r>
      <w:proofErr w:type="gramEnd"/>
      <w:r w:rsidRPr="00AD74F7">
        <w:t xml:space="preserve"> Taxonomy”, IEEE Communications Surveys &amp; Tutorials, Vol. 15, No. 4, pp. 1567-1592, Fourth Quarter 2013</w:t>
      </w:r>
      <w:bookmarkEnd w:id="19"/>
    </w:p>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0321" w14:textId="77777777" w:rsidR="0047789D" w:rsidRDefault="0047789D">
      <w:r>
        <w:separator/>
      </w:r>
    </w:p>
  </w:endnote>
  <w:endnote w:type="continuationSeparator" w:id="0">
    <w:p w14:paraId="7E5BD429" w14:textId="77777777" w:rsidR="0047789D" w:rsidRDefault="0047789D">
      <w:r>
        <w:continuationSeparator/>
      </w:r>
    </w:p>
  </w:endnote>
  <w:endnote w:type="continuationNotice" w:id="1">
    <w:p w14:paraId="736E94DD" w14:textId="77777777" w:rsidR="0047789D" w:rsidRDefault="00477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37D19" w14:textId="77777777" w:rsidR="0047789D" w:rsidRDefault="0047789D">
      <w:r>
        <w:separator/>
      </w:r>
    </w:p>
  </w:footnote>
  <w:footnote w:type="continuationSeparator" w:id="0">
    <w:p w14:paraId="1F4B8457" w14:textId="77777777" w:rsidR="0047789D" w:rsidRDefault="0047789D">
      <w:r>
        <w:continuationSeparator/>
      </w:r>
    </w:p>
  </w:footnote>
  <w:footnote w:type="continuationNotice" w:id="1">
    <w:p w14:paraId="13E2E80E" w14:textId="77777777" w:rsidR="0047789D" w:rsidRDefault="004778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7"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30"/>
  </w:num>
  <w:num w:numId="4">
    <w:abstractNumId w:val="5"/>
  </w:num>
  <w:num w:numId="5">
    <w:abstractNumId w:val="22"/>
  </w:num>
  <w:num w:numId="6">
    <w:abstractNumId w:val="16"/>
  </w:num>
  <w:num w:numId="7">
    <w:abstractNumId w:val="12"/>
  </w:num>
  <w:num w:numId="8">
    <w:abstractNumId w:val="24"/>
  </w:num>
  <w:num w:numId="9">
    <w:abstractNumId w:val="6"/>
  </w:num>
  <w:num w:numId="10">
    <w:abstractNumId w:val="23"/>
  </w:num>
  <w:num w:numId="11">
    <w:abstractNumId w:val="7"/>
  </w:num>
  <w:num w:numId="12">
    <w:abstractNumId w:val="4"/>
  </w:num>
  <w:num w:numId="13">
    <w:abstractNumId w:val="9"/>
  </w:num>
  <w:num w:numId="14">
    <w:abstractNumId w:val="26"/>
  </w:num>
  <w:num w:numId="15">
    <w:abstractNumId w:val="18"/>
  </w:num>
  <w:num w:numId="16">
    <w:abstractNumId w:val="7"/>
    <w:lvlOverride w:ilvl="0">
      <w:startOverride w:val="1"/>
    </w:lvlOverride>
  </w:num>
  <w:num w:numId="17">
    <w:abstractNumId w:val="23"/>
    <w:lvlOverride w:ilvl="0">
      <w:startOverride w:val="1"/>
    </w:lvlOverride>
  </w:num>
  <w:num w:numId="18">
    <w:abstractNumId w:val="19"/>
  </w:num>
  <w:num w:numId="19">
    <w:abstractNumId w:val="2"/>
  </w:num>
  <w:num w:numId="20">
    <w:abstractNumId w:val="28"/>
  </w:num>
  <w:num w:numId="21">
    <w:abstractNumId w:val="0"/>
  </w:num>
  <w:num w:numId="22">
    <w:abstractNumId w:val="12"/>
    <w:lvlOverride w:ilvl="0">
      <w:startOverride w:val="6"/>
    </w:lvlOverride>
    <w:lvlOverride w:ilvl="1">
      <w:startOverride w:val="6"/>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8"/>
  </w:num>
  <w:num w:numId="25">
    <w:abstractNumId w:val="27"/>
  </w:num>
  <w:num w:numId="26">
    <w:abstractNumId w:val="1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
  </w:num>
  <w:num w:numId="30">
    <w:abstractNumId w:val="20"/>
  </w:num>
  <w:num w:numId="31">
    <w:abstractNumId w:val="29"/>
  </w:num>
  <w:num w:numId="32">
    <w:abstractNumId w:val="17"/>
  </w:num>
  <w:num w:numId="33">
    <w:abstractNumId w:val="14"/>
  </w:num>
  <w:num w:numId="3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24BF"/>
    <w:rsid w:val="00032D6C"/>
    <w:rsid w:val="00033136"/>
    <w:rsid w:val="000331A0"/>
    <w:rsid w:val="000332CF"/>
    <w:rsid w:val="000336BA"/>
    <w:rsid w:val="00033E60"/>
    <w:rsid w:val="000343D2"/>
    <w:rsid w:val="00034B6B"/>
    <w:rsid w:val="0003551C"/>
    <w:rsid w:val="000359EF"/>
    <w:rsid w:val="00036E97"/>
    <w:rsid w:val="00037BA8"/>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267"/>
    <w:rsid w:val="000517AF"/>
    <w:rsid w:val="000522AE"/>
    <w:rsid w:val="000526D9"/>
    <w:rsid w:val="000529F9"/>
    <w:rsid w:val="0005344B"/>
    <w:rsid w:val="00053F40"/>
    <w:rsid w:val="000543E5"/>
    <w:rsid w:val="00054742"/>
    <w:rsid w:val="00054B9C"/>
    <w:rsid w:val="00054BEC"/>
    <w:rsid w:val="0005543B"/>
    <w:rsid w:val="000561ED"/>
    <w:rsid w:val="00056D01"/>
    <w:rsid w:val="00057082"/>
    <w:rsid w:val="00057821"/>
    <w:rsid w:val="00057B21"/>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77E"/>
    <w:rsid w:val="000670F1"/>
    <w:rsid w:val="00067561"/>
    <w:rsid w:val="000677F5"/>
    <w:rsid w:val="00067B1B"/>
    <w:rsid w:val="000719A3"/>
    <w:rsid w:val="00071D87"/>
    <w:rsid w:val="00071D98"/>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2652"/>
    <w:rsid w:val="00083270"/>
    <w:rsid w:val="000838FC"/>
    <w:rsid w:val="00083E78"/>
    <w:rsid w:val="000846A2"/>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7F1"/>
    <w:rsid w:val="000A1A21"/>
    <w:rsid w:val="000A1F21"/>
    <w:rsid w:val="000A2C27"/>
    <w:rsid w:val="000A3194"/>
    <w:rsid w:val="000A35A3"/>
    <w:rsid w:val="000A4A42"/>
    <w:rsid w:val="000A56C1"/>
    <w:rsid w:val="000A5706"/>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6A92"/>
    <w:rsid w:val="000B6D8E"/>
    <w:rsid w:val="000B6EBE"/>
    <w:rsid w:val="000B74F1"/>
    <w:rsid w:val="000C02FF"/>
    <w:rsid w:val="000C09B5"/>
    <w:rsid w:val="000C2049"/>
    <w:rsid w:val="000C20BB"/>
    <w:rsid w:val="000C2D5A"/>
    <w:rsid w:val="000C331A"/>
    <w:rsid w:val="000C4C1B"/>
    <w:rsid w:val="000C520A"/>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7070"/>
    <w:rsid w:val="000E172C"/>
    <w:rsid w:val="000E2135"/>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721"/>
    <w:rsid w:val="000F1D01"/>
    <w:rsid w:val="000F237E"/>
    <w:rsid w:val="000F2915"/>
    <w:rsid w:val="000F3042"/>
    <w:rsid w:val="000F3AA2"/>
    <w:rsid w:val="000F41F1"/>
    <w:rsid w:val="000F4413"/>
    <w:rsid w:val="000F5304"/>
    <w:rsid w:val="000F710C"/>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48B"/>
    <w:rsid w:val="001357BA"/>
    <w:rsid w:val="00135A85"/>
    <w:rsid w:val="00135E52"/>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217A"/>
    <w:rsid w:val="001824A1"/>
    <w:rsid w:val="001828DE"/>
    <w:rsid w:val="00182F8D"/>
    <w:rsid w:val="0018380A"/>
    <w:rsid w:val="00184685"/>
    <w:rsid w:val="00184AAB"/>
    <w:rsid w:val="00184FFF"/>
    <w:rsid w:val="00185252"/>
    <w:rsid w:val="00185832"/>
    <w:rsid w:val="001875F8"/>
    <w:rsid w:val="00187863"/>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112A"/>
    <w:rsid w:val="001C1AE2"/>
    <w:rsid w:val="001C1AF2"/>
    <w:rsid w:val="001C2D98"/>
    <w:rsid w:val="001C3256"/>
    <w:rsid w:val="001C38D9"/>
    <w:rsid w:val="001C55A0"/>
    <w:rsid w:val="001C56E0"/>
    <w:rsid w:val="001C5BC2"/>
    <w:rsid w:val="001C62E2"/>
    <w:rsid w:val="001C6351"/>
    <w:rsid w:val="001C6D31"/>
    <w:rsid w:val="001C7421"/>
    <w:rsid w:val="001C7426"/>
    <w:rsid w:val="001C782F"/>
    <w:rsid w:val="001C7C95"/>
    <w:rsid w:val="001D0694"/>
    <w:rsid w:val="001D1501"/>
    <w:rsid w:val="001D2381"/>
    <w:rsid w:val="001D2CD8"/>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91C"/>
    <w:rsid w:val="002069FC"/>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2067"/>
    <w:rsid w:val="002224F9"/>
    <w:rsid w:val="0022363C"/>
    <w:rsid w:val="00224D26"/>
    <w:rsid w:val="002255AF"/>
    <w:rsid w:val="00225A30"/>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2A6B"/>
    <w:rsid w:val="002544F4"/>
    <w:rsid w:val="00254595"/>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904"/>
    <w:rsid w:val="002773A6"/>
    <w:rsid w:val="00277B2B"/>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5659"/>
    <w:rsid w:val="00295B3D"/>
    <w:rsid w:val="0029677F"/>
    <w:rsid w:val="00296D43"/>
    <w:rsid w:val="00296DCC"/>
    <w:rsid w:val="0029717C"/>
    <w:rsid w:val="00297B03"/>
    <w:rsid w:val="00297BF4"/>
    <w:rsid w:val="002A01C0"/>
    <w:rsid w:val="002A03FE"/>
    <w:rsid w:val="002A0921"/>
    <w:rsid w:val="002A0D0F"/>
    <w:rsid w:val="002A118B"/>
    <w:rsid w:val="002A20AC"/>
    <w:rsid w:val="002A23B5"/>
    <w:rsid w:val="002A2F0D"/>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1CF6"/>
    <w:rsid w:val="002D1E69"/>
    <w:rsid w:val="002D241E"/>
    <w:rsid w:val="002D2AAE"/>
    <w:rsid w:val="002D38B4"/>
    <w:rsid w:val="002D40BB"/>
    <w:rsid w:val="002D4A49"/>
    <w:rsid w:val="002D4B32"/>
    <w:rsid w:val="002D5CA1"/>
    <w:rsid w:val="002D5E40"/>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D7A"/>
    <w:rsid w:val="00300201"/>
    <w:rsid w:val="003005CE"/>
    <w:rsid w:val="00301142"/>
    <w:rsid w:val="00301DBF"/>
    <w:rsid w:val="00302E32"/>
    <w:rsid w:val="003032FD"/>
    <w:rsid w:val="0030396D"/>
    <w:rsid w:val="00303C80"/>
    <w:rsid w:val="00303DFF"/>
    <w:rsid w:val="00303EBF"/>
    <w:rsid w:val="00304615"/>
    <w:rsid w:val="0030462C"/>
    <w:rsid w:val="003046B5"/>
    <w:rsid w:val="00304D9F"/>
    <w:rsid w:val="00304E78"/>
    <w:rsid w:val="003059C2"/>
    <w:rsid w:val="00305B08"/>
    <w:rsid w:val="00305CAE"/>
    <w:rsid w:val="00305EC5"/>
    <w:rsid w:val="0030660F"/>
    <w:rsid w:val="00306C66"/>
    <w:rsid w:val="00306E38"/>
    <w:rsid w:val="003074C5"/>
    <w:rsid w:val="00307562"/>
    <w:rsid w:val="00307797"/>
    <w:rsid w:val="003078D3"/>
    <w:rsid w:val="003109B0"/>
    <w:rsid w:val="00310C0C"/>
    <w:rsid w:val="003111B3"/>
    <w:rsid w:val="003115A2"/>
    <w:rsid w:val="00311D2C"/>
    <w:rsid w:val="00312574"/>
    <w:rsid w:val="00314711"/>
    <w:rsid w:val="00314A25"/>
    <w:rsid w:val="00314DEE"/>
    <w:rsid w:val="00314EDE"/>
    <w:rsid w:val="003150BA"/>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D8A"/>
    <w:rsid w:val="003271A7"/>
    <w:rsid w:val="003271BA"/>
    <w:rsid w:val="003273F2"/>
    <w:rsid w:val="003314A1"/>
    <w:rsid w:val="00331E8D"/>
    <w:rsid w:val="00331EBE"/>
    <w:rsid w:val="003322AE"/>
    <w:rsid w:val="00332BB9"/>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52C6"/>
    <w:rsid w:val="00345353"/>
    <w:rsid w:val="00345BFE"/>
    <w:rsid w:val="00346DC4"/>
    <w:rsid w:val="00346DE7"/>
    <w:rsid w:val="00347399"/>
    <w:rsid w:val="0034744F"/>
    <w:rsid w:val="003507DA"/>
    <w:rsid w:val="00350D85"/>
    <w:rsid w:val="0035164B"/>
    <w:rsid w:val="00351C5F"/>
    <w:rsid w:val="003524C4"/>
    <w:rsid w:val="0035275D"/>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548"/>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4AA"/>
    <w:rsid w:val="00374F8D"/>
    <w:rsid w:val="00375538"/>
    <w:rsid w:val="003757FE"/>
    <w:rsid w:val="00375A11"/>
    <w:rsid w:val="00376263"/>
    <w:rsid w:val="00376453"/>
    <w:rsid w:val="00377274"/>
    <w:rsid w:val="0037744E"/>
    <w:rsid w:val="00377CE6"/>
    <w:rsid w:val="00377E84"/>
    <w:rsid w:val="003801EE"/>
    <w:rsid w:val="003812A4"/>
    <w:rsid w:val="00382813"/>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3D1"/>
    <w:rsid w:val="00395781"/>
    <w:rsid w:val="00395F22"/>
    <w:rsid w:val="0039634D"/>
    <w:rsid w:val="00397581"/>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3CD1"/>
    <w:rsid w:val="003C4B87"/>
    <w:rsid w:val="003C4FFC"/>
    <w:rsid w:val="003C5840"/>
    <w:rsid w:val="003C649E"/>
    <w:rsid w:val="003C6850"/>
    <w:rsid w:val="003C6D2D"/>
    <w:rsid w:val="003C71A6"/>
    <w:rsid w:val="003C71BB"/>
    <w:rsid w:val="003C7BE6"/>
    <w:rsid w:val="003D14A4"/>
    <w:rsid w:val="003D1CD9"/>
    <w:rsid w:val="003D2998"/>
    <w:rsid w:val="003D3111"/>
    <w:rsid w:val="003D3E9C"/>
    <w:rsid w:val="003D3F49"/>
    <w:rsid w:val="003D40D8"/>
    <w:rsid w:val="003D4338"/>
    <w:rsid w:val="003D46B5"/>
    <w:rsid w:val="003D4B76"/>
    <w:rsid w:val="003D5F0C"/>
    <w:rsid w:val="003D6789"/>
    <w:rsid w:val="003D6BFA"/>
    <w:rsid w:val="003D7763"/>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440E"/>
    <w:rsid w:val="003F4B9A"/>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333"/>
    <w:rsid w:val="004037EF"/>
    <w:rsid w:val="004042DB"/>
    <w:rsid w:val="004050E2"/>
    <w:rsid w:val="00406845"/>
    <w:rsid w:val="00410CAC"/>
    <w:rsid w:val="004111AB"/>
    <w:rsid w:val="00411DB3"/>
    <w:rsid w:val="004123A8"/>
    <w:rsid w:val="0041271E"/>
    <w:rsid w:val="00412841"/>
    <w:rsid w:val="00413507"/>
    <w:rsid w:val="00413B22"/>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D6B"/>
    <w:rsid w:val="004248DD"/>
    <w:rsid w:val="00424DF6"/>
    <w:rsid w:val="0042560F"/>
    <w:rsid w:val="00425637"/>
    <w:rsid w:val="00425ACA"/>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524F"/>
    <w:rsid w:val="0045557D"/>
    <w:rsid w:val="00456272"/>
    <w:rsid w:val="00456285"/>
    <w:rsid w:val="004563DB"/>
    <w:rsid w:val="0045796D"/>
    <w:rsid w:val="00457A57"/>
    <w:rsid w:val="00460608"/>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2F28"/>
    <w:rsid w:val="0047340E"/>
    <w:rsid w:val="004736FF"/>
    <w:rsid w:val="00473A4A"/>
    <w:rsid w:val="004742E9"/>
    <w:rsid w:val="00475030"/>
    <w:rsid w:val="00475230"/>
    <w:rsid w:val="004756A4"/>
    <w:rsid w:val="0047599D"/>
    <w:rsid w:val="004764F3"/>
    <w:rsid w:val="0047789D"/>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302E"/>
    <w:rsid w:val="004B30C0"/>
    <w:rsid w:val="004B3CC9"/>
    <w:rsid w:val="004B3E0A"/>
    <w:rsid w:val="004B463E"/>
    <w:rsid w:val="004B6769"/>
    <w:rsid w:val="004B6B75"/>
    <w:rsid w:val="004B6D75"/>
    <w:rsid w:val="004B6F0D"/>
    <w:rsid w:val="004C035C"/>
    <w:rsid w:val="004C0D55"/>
    <w:rsid w:val="004C0DB0"/>
    <w:rsid w:val="004C10C1"/>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7003"/>
    <w:rsid w:val="004C71F0"/>
    <w:rsid w:val="004C7392"/>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E088E"/>
    <w:rsid w:val="004E094C"/>
    <w:rsid w:val="004E09B2"/>
    <w:rsid w:val="004E0E21"/>
    <w:rsid w:val="004E1D55"/>
    <w:rsid w:val="004E2F3C"/>
    <w:rsid w:val="004E436D"/>
    <w:rsid w:val="004E46DB"/>
    <w:rsid w:val="004E4A1B"/>
    <w:rsid w:val="004E5C02"/>
    <w:rsid w:val="004E6006"/>
    <w:rsid w:val="004E629C"/>
    <w:rsid w:val="004E6F09"/>
    <w:rsid w:val="004E773B"/>
    <w:rsid w:val="004E77E3"/>
    <w:rsid w:val="004E7A1B"/>
    <w:rsid w:val="004F0707"/>
    <w:rsid w:val="004F0AC2"/>
    <w:rsid w:val="004F22D1"/>
    <w:rsid w:val="004F282C"/>
    <w:rsid w:val="004F4323"/>
    <w:rsid w:val="004F445D"/>
    <w:rsid w:val="004F47AF"/>
    <w:rsid w:val="004F4DA1"/>
    <w:rsid w:val="004F4DD0"/>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FBF"/>
    <w:rsid w:val="00536FFF"/>
    <w:rsid w:val="00540198"/>
    <w:rsid w:val="005406C0"/>
    <w:rsid w:val="00540DD2"/>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7D"/>
    <w:rsid w:val="00551388"/>
    <w:rsid w:val="0055142D"/>
    <w:rsid w:val="00551F4C"/>
    <w:rsid w:val="00552775"/>
    <w:rsid w:val="00552900"/>
    <w:rsid w:val="005529AF"/>
    <w:rsid w:val="00553A7E"/>
    <w:rsid w:val="005562E7"/>
    <w:rsid w:val="00556D8B"/>
    <w:rsid w:val="00561FB6"/>
    <w:rsid w:val="005620E4"/>
    <w:rsid w:val="00562880"/>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192"/>
    <w:rsid w:val="0058121E"/>
    <w:rsid w:val="005815E3"/>
    <w:rsid w:val="0058186B"/>
    <w:rsid w:val="00581FA5"/>
    <w:rsid w:val="005826DC"/>
    <w:rsid w:val="005828A4"/>
    <w:rsid w:val="00582DBB"/>
    <w:rsid w:val="0058343D"/>
    <w:rsid w:val="00583594"/>
    <w:rsid w:val="00585108"/>
    <w:rsid w:val="00585448"/>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C9A"/>
    <w:rsid w:val="0059735E"/>
    <w:rsid w:val="00597949"/>
    <w:rsid w:val="005979BD"/>
    <w:rsid w:val="005A069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7ED"/>
    <w:rsid w:val="005C7C1C"/>
    <w:rsid w:val="005C7DC8"/>
    <w:rsid w:val="005D0036"/>
    <w:rsid w:val="005D0D33"/>
    <w:rsid w:val="005D0D5C"/>
    <w:rsid w:val="005D14B6"/>
    <w:rsid w:val="005D1CD4"/>
    <w:rsid w:val="005D291F"/>
    <w:rsid w:val="005D2A38"/>
    <w:rsid w:val="005D3106"/>
    <w:rsid w:val="005D3954"/>
    <w:rsid w:val="005D4046"/>
    <w:rsid w:val="005D4622"/>
    <w:rsid w:val="005D46D0"/>
    <w:rsid w:val="005D51AB"/>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92F"/>
    <w:rsid w:val="005E7C72"/>
    <w:rsid w:val="005F07F3"/>
    <w:rsid w:val="005F0AFB"/>
    <w:rsid w:val="005F0E65"/>
    <w:rsid w:val="005F1532"/>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7566"/>
    <w:rsid w:val="00657CAA"/>
    <w:rsid w:val="00660322"/>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33B"/>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A89"/>
    <w:rsid w:val="00686DCA"/>
    <w:rsid w:val="00687CFA"/>
    <w:rsid w:val="00687EAF"/>
    <w:rsid w:val="00691575"/>
    <w:rsid w:val="00691676"/>
    <w:rsid w:val="00691957"/>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471"/>
    <w:rsid w:val="006B4AB5"/>
    <w:rsid w:val="006B58D9"/>
    <w:rsid w:val="006B5ABF"/>
    <w:rsid w:val="006B5B2B"/>
    <w:rsid w:val="006B644F"/>
    <w:rsid w:val="006B68F1"/>
    <w:rsid w:val="006B7069"/>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622"/>
    <w:rsid w:val="007127B2"/>
    <w:rsid w:val="007128D9"/>
    <w:rsid w:val="00712F5E"/>
    <w:rsid w:val="007130D7"/>
    <w:rsid w:val="00715AE0"/>
    <w:rsid w:val="007165B5"/>
    <w:rsid w:val="0071718A"/>
    <w:rsid w:val="007171A1"/>
    <w:rsid w:val="007175C2"/>
    <w:rsid w:val="00717A39"/>
    <w:rsid w:val="00720D7D"/>
    <w:rsid w:val="00720E59"/>
    <w:rsid w:val="00720E8E"/>
    <w:rsid w:val="00721614"/>
    <w:rsid w:val="00721E37"/>
    <w:rsid w:val="007221E2"/>
    <w:rsid w:val="00722BCE"/>
    <w:rsid w:val="00723416"/>
    <w:rsid w:val="00723AAA"/>
    <w:rsid w:val="00723B51"/>
    <w:rsid w:val="0072419F"/>
    <w:rsid w:val="00724EAB"/>
    <w:rsid w:val="007259C2"/>
    <w:rsid w:val="00726465"/>
    <w:rsid w:val="00726A23"/>
    <w:rsid w:val="00727399"/>
    <w:rsid w:val="007275CF"/>
    <w:rsid w:val="007304FF"/>
    <w:rsid w:val="00731AD2"/>
    <w:rsid w:val="00731D29"/>
    <w:rsid w:val="007322AB"/>
    <w:rsid w:val="00732363"/>
    <w:rsid w:val="007329D2"/>
    <w:rsid w:val="007329DC"/>
    <w:rsid w:val="007331A9"/>
    <w:rsid w:val="007336A0"/>
    <w:rsid w:val="00734411"/>
    <w:rsid w:val="00734F75"/>
    <w:rsid w:val="0073516D"/>
    <w:rsid w:val="007353A3"/>
    <w:rsid w:val="00735C95"/>
    <w:rsid w:val="007366C7"/>
    <w:rsid w:val="00736B55"/>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91F"/>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4000"/>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7286"/>
    <w:rsid w:val="00781228"/>
    <w:rsid w:val="00781D61"/>
    <w:rsid w:val="007820FA"/>
    <w:rsid w:val="00782C0F"/>
    <w:rsid w:val="00783765"/>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D87"/>
    <w:rsid w:val="007E6FEE"/>
    <w:rsid w:val="007E7D66"/>
    <w:rsid w:val="007F0306"/>
    <w:rsid w:val="007F0A26"/>
    <w:rsid w:val="007F1820"/>
    <w:rsid w:val="007F2337"/>
    <w:rsid w:val="007F234C"/>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92D"/>
    <w:rsid w:val="00803BAC"/>
    <w:rsid w:val="00804C6F"/>
    <w:rsid w:val="00804D03"/>
    <w:rsid w:val="00804D12"/>
    <w:rsid w:val="008059A1"/>
    <w:rsid w:val="00805F1B"/>
    <w:rsid w:val="008066B8"/>
    <w:rsid w:val="00810456"/>
    <w:rsid w:val="00811D52"/>
    <w:rsid w:val="00811EFB"/>
    <w:rsid w:val="00813593"/>
    <w:rsid w:val="008135B4"/>
    <w:rsid w:val="00813A10"/>
    <w:rsid w:val="00813EC3"/>
    <w:rsid w:val="008143CD"/>
    <w:rsid w:val="008146AC"/>
    <w:rsid w:val="00814B33"/>
    <w:rsid w:val="00815209"/>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912"/>
    <w:rsid w:val="00850A22"/>
    <w:rsid w:val="00850C79"/>
    <w:rsid w:val="0085120A"/>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D35"/>
    <w:rsid w:val="0087083E"/>
    <w:rsid w:val="00870B63"/>
    <w:rsid w:val="00870D91"/>
    <w:rsid w:val="00871109"/>
    <w:rsid w:val="00871150"/>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6150"/>
    <w:rsid w:val="00896312"/>
    <w:rsid w:val="00896B82"/>
    <w:rsid w:val="00896C6F"/>
    <w:rsid w:val="00897C56"/>
    <w:rsid w:val="008A0763"/>
    <w:rsid w:val="008A1341"/>
    <w:rsid w:val="008A13EE"/>
    <w:rsid w:val="008A17B8"/>
    <w:rsid w:val="008A1D0F"/>
    <w:rsid w:val="008A207F"/>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3B96"/>
    <w:rsid w:val="008B4119"/>
    <w:rsid w:val="008B435C"/>
    <w:rsid w:val="008B4E67"/>
    <w:rsid w:val="008B525B"/>
    <w:rsid w:val="008B5EAF"/>
    <w:rsid w:val="008B6448"/>
    <w:rsid w:val="008B65FA"/>
    <w:rsid w:val="008B7706"/>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538"/>
    <w:rsid w:val="008E54AD"/>
    <w:rsid w:val="008E5A75"/>
    <w:rsid w:val="008E5CF3"/>
    <w:rsid w:val="008E622D"/>
    <w:rsid w:val="008E6FA7"/>
    <w:rsid w:val="008E7366"/>
    <w:rsid w:val="008E7E80"/>
    <w:rsid w:val="008F1FCD"/>
    <w:rsid w:val="008F3109"/>
    <w:rsid w:val="008F3946"/>
    <w:rsid w:val="008F3DAF"/>
    <w:rsid w:val="008F4939"/>
    <w:rsid w:val="008F515D"/>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D14"/>
    <w:rsid w:val="00902F41"/>
    <w:rsid w:val="00903C2A"/>
    <w:rsid w:val="00903EB5"/>
    <w:rsid w:val="009040E4"/>
    <w:rsid w:val="0090554A"/>
    <w:rsid w:val="00905DFE"/>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764"/>
    <w:rsid w:val="009238F3"/>
    <w:rsid w:val="00924053"/>
    <w:rsid w:val="00924AC5"/>
    <w:rsid w:val="00924B4F"/>
    <w:rsid w:val="00924CC3"/>
    <w:rsid w:val="00925188"/>
    <w:rsid w:val="00925975"/>
    <w:rsid w:val="0092681F"/>
    <w:rsid w:val="009269F2"/>
    <w:rsid w:val="0092712A"/>
    <w:rsid w:val="009300D3"/>
    <w:rsid w:val="009300EF"/>
    <w:rsid w:val="00930134"/>
    <w:rsid w:val="009308A2"/>
    <w:rsid w:val="00930957"/>
    <w:rsid w:val="0093100E"/>
    <w:rsid w:val="00932A3B"/>
    <w:rsid w:val="00934212"/>
    <w:rsid w:val="00934469"/>
    <w:rsid w:val="00934615"/>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7E4"/>
    <w:rsid w:val="009448C5"/>
    <w:rsid w:val="0094584A"/>
    <w:rsid w:val="00945F0F"/>
    <w:rsid w:val="0094657D"/>
    <w:rsid w:val="00946AA5"/>
    <w:rsid w:val="009474B5"/>
    <w:rsid w:val="00950696"/>
    <w:rsid w:val="009506E1"/>
    <w:rsid w:val="00950DCB"/>
    <w:rsid w:val="00950ECE"/>
    <w:rsid w:val="00951505"/>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20A9"/>
    <w:rsid w:val="009735C3"/>
    <w:rsid w:val="009737F5"/>
    <w:rsid w:val="00973937"/>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40F0"/>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0D"/>
    <w:rsid w:val="009A51AC"/>
    <w:rsid w:val="009A59CE"/>
    <w:rsid w:val="009A600B"/>
    <w:rsid w:val="009A6C1B"/>
    <w:rsid w:val="009A7205"/>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E0"/>
    <w:rsid w:val="009E0487"/>
    <w:rsid w:val="009E2541"/>
    <w:rsid w:val="009E2734"/>
    <w:rsid w:val="009E28A2"/>
    <w:rsid w:val="009E29BD"/>
    <w:rsid w:val="009E2A6E"/>
    <w:rsid w:val="009E56AC"/>
    <w:rsid w:val="009E63A7"/>
    <w:rsid w:val="009E6864"/>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B"/>
    <w:rsid w:val="00A1009D"/>
    <w:rsid w:val="00A1068F"/>
    <w:rsid w:val="00A10E6B"/>
    <w:rsid w:val="00A112ED"/>
    <w:rsid w:val="00A1162C"/>
    <w:rsid w:val="00A1181F"/>
    <w:rsid w:val="00A11A31"/>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2771"/>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8FA"/>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9EA"/>
    <w:rsid w:val="00A65E6C"/>
    <w:rsid w:val="00A666D9"/>
    <w:rsid w:val="00A6681C"/>
    <w:rsid w:val="00A66F92"/>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404E"/>
    <w:rsid w:val="00AA4257"/>
    <w:rsid w:val="00AA476A"/>
    <w:rsid w:val="00AA61BB"/>
    <w:rsid w:val="00AA6966"/>
    <w:rsid w:val="00AA7E70"/>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DA5"/>
    <w:rsid w:val="00AD1AC8"/>
    <w:rsid w:val="00AD2982"/>
    <w:rsid w:val="00AD299F"/>
    <w:rsid w:val="00AD3D24"/>
    <w:rsid w:val="00AD3FEA"/>
    <w:rsid w:val="00AD44B5"/>
    <w:rsid w:val="00AD45E2"/>
    <w:rsid w:val="00AD4D53"/>
    <w:rsid w:val="00AD5135"/>
    <w:rsid w:val="00AD61CD"/>
    <w:rsid w:val="00AD62CC"/>
    <w:rsid w:val="00AD660D"/>
    <w:rsid w:val="00AD69C2"/>
    <w:rsid w:val="00AD74F7"/>
    <w:rsid w:val="00AD7DD6"/>
    <w:rsid w:val="00AE012D"/>
    <w:rsid w:val="00AE0846"/>
    <w:rsid w:val="00AE0FBE"/>
    <w:rsid w:val="00AE189C"/>
    <w:rsid w:val="00AE298E"/>
    <w:rsid w:val="00AE2B1F"/>
    <w:rsid w:val="00AE2C29"/>
    <w:rsid w:val="00AE2E10"/>
    <w:rsid w:val="00AE3C9D"/>
    <w:rsid w:val="00AE41A2"/>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AAE"/>
    <w:rsid w:val="00B21DF7"/>
    <w:rsid w:val="00B228D3"/>
    <w:rsid w:val="00B23782"/>
    <w:rsid w:val="00B23F64"/>
    <w:rsid w:val="00B241D5"/>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67"/>
    <w:rsid w:val="00B613A9"/>
    <w:rsid w:val="00B61F7E"/>
    <w:rsid w:val="00B625B5"/>
    <w:rsid w:val="00B637CB"/>
    <w:rsid w:val="00B637DD"/>
    <w:rsid w:val="00B64825"/>
    <w:rsid w:val="00B65F44"/>
    <w:rsid w:val="00B66182"/>
    <w:rsid w:val="00B66952"/>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544"/>
    <w:rsid w:val="00B870BD"/>
    <w:rsid w:val="00B90842"/>
    <w:rsid w:val="00B908A8"/>
    <w:rsid w:val="00B909FE"/>
    <w:rsid w:val="00B90BFB"/>
    <w:rsid w:val="00B90DE3"/>
    <w:rsid w:val="00B90FD9"/>
    <w:rsid w:val="00B91832"/>
    <w:rsid w:val="00B927C8"/>
    <w:rsid w:val="00B9290C"/>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6F47"/>
    <w:rsid w:val="00BB72E7"/>
    <w:rsid w:val="00BB7445"/>
    <w:rsid w:val="00BC166F"/>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2320"/>
    <w:rsid w:val="00BE2A08"/>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3B34"/>
    <w:rsid w:val="00C24952"/>
    <w:rsid w:val="00C24DC1"/>
    <w:rsid w:val="00C2522B"/>
    <w:rsid w:val="00C25A16"/>
    <w:rsid w:val="00C2721F"/>
    <w:rsid w:val="00C27521"/>
    <w:rsid w:val="00C278D7"/>
    <w:rsid w:val="00C3003F"/>
    <w:rsid w:val="00C300E3"/>
    <w:rsid w:val="00C30C99"/>
    <w:rsid w:val="00C31387"/>
    <w:rsid w:val="00C316C9"/>
    <w:rsid w:val="00C31760"/>
    <w:rsid w:val="00C31B69"/>
    <w:rsid w:val="00C31C2C"/>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DC3"/>
    <w:rsid w:val="00C63FED"/>
    <w:rsid w:val="00C65408"/>
    <w:rsid w:val="00C66422"/>
    <w:rsid w:val="00C6688B"/>
    <w:rsid w:val="00C66902"/>
    <w:rsid w:val="00C67149"/>
    <w:rsid w:val="00C671DC"/>
    <w:rsid w:val="00C67A0E"/>
    <w:rsid w:val="00C70633"/>
    <w:rsid w:val="00C70F62"/>
    <w:rsid w:val="00C71452"/>
    <w:rsid w:val="00C7206A"/>
    <w:rsid w:val="00C72095"/>
    <w:rsid w:val="00C7332F"/>
    <w:rsid w:val="00C736BD"/>
    <w:rsid w:val="00C7413D"/>
    <w:rsid w:val="00C74517"/>
    <w:rsid w:val="00C745B5"/>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611C"/>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6031"/>
    <w:rsid w:val="00CB6A63"/>
    <w:rsid w:val="00CB7407"/>
    <w:rsid w:val="00CB751D"/>
    <w:rsid w:val="00CB767A"/>
    <w:rsid w:val="00CB79D1"/>
    <w:rsid w:val="00CB7E7F"/>
    <w:rsid w:val="00CC00BD"/>
    <w:rsid w:val="00CC0D08"/>
    <w:rsid w:val="00CC1ABE"/>
    <w:rsid w:val="00CC2193"/>
    <w:rsid w:val="00CC2266"/>
    <w:rsid w:val="00CC36A8"/>
    <w:rsid w:val="00CC381F"/>
    <w:rsid w:val="00CC3AD5"/>
    <w:rsid w:val="00CC42DF"/>
    <w:rsid w:val="00CC62E5"/>
    <w:rsid w:val="00CC70E0"/>
    <w:rsid w:val="00CC70F4"/>
    <w:rsid w:val="00CC73F5"/>
    <w:rsid w:val="00CC7729"/>
    <w:rsid w:val="00CC7966"/>
    <w:rsid w:val="00CD0455"/>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FF2"/>
    <w:rsid w:val="00CF0274"/>
    <w:rsid w:val="00CF02B5"/>
    <w:rsid w:val="00CF061E"/>
    <w:rsid w:val="00CF1061"/>
    <w:rsid w:val="00CF1406"/>
    <w:rsid w:val="00CF16DF"/>
    <w:rsid w:val="00CF1BCB"/>
    <w:rsid w:val="00CF1FDD"/>
    <w:rsid w:val="00CF307F"/>
    <w:rsid w:val="00CF31A4"/>
    <w:rsid w:val="00CF3686"/>
    <w:rsid w:val="00CF38F7"/>
    <w:rsid w:val="00CF3A4A"/>
    <w:rsid w:val="00CF3FD6"/>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829"/>
    <w:rsid w:val="00D14C22"/>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2D11"/>
    <w:rsid w:val="00D32EA0"/>
    <w:rsid w:val="00D33365"/>
    <w:rsid w:val="00D3377E"/>
    <w:rsid w:val="00D33EDE"/>
    <w:rsid w:val="00D34A4A"/>
    <w:rsid w:val="00D35BB8"/>
    <w:rsid w:val="00D36A1A"/>
    <w:rsid w:val="00D4055E"/>
    <w:rsid w:val="00D40561"/>
    <w:rsid w:val="00D405DE"/>
    <w:rsid w:val="00D4126E"/>
    <w:rsid w:val="00D41604"/>
    <w:rsid w:val="00D41A0C"/>
    <w:rsid w:val="00D41A9D"/>
    <w:rsid w:val="00D4211C"/>
    <w:rsid w:val="00D42F5D"/>
    <w:rsid w:val="00D430A4"/>
    <w:rsid w:val="00D43146"/>
    <w:rsid w:val="00D43B97"/>
    <w:rsid w:val="00D4430F"/>
    <w:rsid w:val="00D443DE"/>
    <w:rsid w:val="00D44825"/>
    <w:rsid w:val="00D45231"/>
    <w:rsid w:val="00D453D6"/>
    <w:rsid w:val="00D4573D"/>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FB2"/>
    <w:rsid w:val="00D55137"/>
    <w:rsid w:val="00D552F0"/>
    <w:rsid w:val="00D561F3"/>
    <w:rsid w:val="00D5647E"/>
    <w:rsid w:val="00D56703"/>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50F5"/>
    <w:rsid w:val="00D95144"/>
    <w:rsid w:val="00D953EB"/>
    <w:rsid w:val="00D96DB9"/>
    <w:rsid w:val="00DA0686"/>
    <w:rsid w:val="00DA0B11"/>
    <w:rsid w:val="00DA0CA6"/>
    <w:rsid w:val="00DA271F"/>
    <w:rsid w:val="00DA2CEB"/>
    <w:rsid w:val="00DA2F8C"/>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DE8"/>
    <w:rsid w:val="00DB37B6"/>
    <w:rsid w:val="00DB3BA3"/>
    <w:rsid w:val="00DB4354"/>
    <w:rsid w:val="00DB492F"/>
    <w:rsid w:val="00DB4C0B"/>
    <w:rsid w:val="00DB4C76"/>
    <w:rsid w:val="00DB4E4B"/>
    <w:rsid w:val="00DB553F"/>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3F6A"/>
    <w:rsid w:val="00DC4B04"/>
    <w:rsid w:val="00DC5225"/>
    <w:rsid w:val="00DC59CA"/>
    <w:rsid w:val="00DC670C"/>
    <w:rsid w:val="00DC7C98"/>
    <w:rsid w:val="00DD0B55"/>
    <w:rsid w:val="00DD0F3C"/>
    <w:rsid w:val="00DD2715"/>
    <w:rsid w:val="00DD3004"/>
    <w:rsid w:val="00DD3097"/>
    <w:rsid w:val="00DD38FE"/>
    <w:rsid w:val="00DD3CAD"/>
    <w:rsid w:val="00DD45D7"/>
    <w:rsid w:val="00DD527E"/>
    <w:rsid w:val="00DD624C"/>
    <w:rsid w:val="00DD6625"/>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2CF6"/>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57FB"/>
    <w:rsid w:val="00E363BD"/>
    <w:rsid w:val="00E3646B"/>
    <w:rsid w:val="00E36AC9"/>
    <w:rsid w:val="00E36CB5"/>
    <w:rsid w:val="00E36E21"/>
    <w:rsid w:val="00E36E79"/>
    <w:rsid w:val="00E37797"/>
    <w:rsid w:val="00E37CDC"/>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2F4"/>
    <w:rsid w:val="00E64966"/>
    <w:rsid w:val="00E64DA1"/>
    <w:rsid w:val="00E65316"/>
    <w:rsid w:val="00E65329"/>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4E7"/>
    <w:rsid w:val="00EC26F1"/>
    <w:rsid w:val="00EC2DC7"/>
    <w:rsid w:val="00EC33EE"/>
    <w:rsid w:val="00EC3B82"/>
    <w:rsid w:val="00EC5176"/>
    <w:rsid w:val="00EC566E"/>
    <w:rsid w:val="00EC5713"/>
    <w:rsid w:val="00EC57EA"/>
    <w:rsid w:val="00EC57F3"/>
    <w:rsid w:val="00EC6F8B"/>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F02"/>
    <w:rsid w:val="00F44F24"/>
    <w:rsid w:val="00F45B68"/>
    <w:rsid w:val="00F468AF"/>
    <w:rsid w:val="00F47191"/>
    <w:rsid w:val="00F47356"/>
    <w:rsid w:val="00F47552"/>
    <w:rsid w:val="00F47BA9"/>
    <w:rsid w:val="00F47BE2"/>
    <w:rsid w:val="00F506DF"/>
    <w:rsid w:val="00F517C0"/>
    <w:rsid w:val="00F51E4D"/>
    <w:rsid w:val="00F520BB"/>
    <w:rsid w:val="00F52699"/>
    <w:rsid w:val="00F52F3C"/>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F31"/>
    <w:rsid w:val="00F70A43"/>
    <w:rsid w:val="00F71381"/>
    <w:rsid w:val="00F71AAA"/>
    <w:rsid w:val="00F71B21"/>
    <w:rsid w:val="00F71C88"/>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34E8"/>
    <w:rsid w:val="00F8357F"/>
    <w:rsid w:val="00F847B4"/>
    <w:rsid w:val="00F85EB1"/>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D41"/>
    <w:rsid w:val="00FA3F0A"/>
    <w:rsid w:val="00FA44EE"/>
    <w:rsid w:val="00FA457D"/>
    <w:rsid w:val="00FA4D24"/>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7657"/>
    <w:rsid w:val="00FB7923"/>
    <w:rsid w:val="00FB7DB0"/>
    <w:rsid w:val="00FC01F1"/>
    <w:rsid w:val="00FC0668"/>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419F"/>
    <w:rsid w:val="00FD4222"/>
    <w:rsid w:val="00FD44B7"/>
    <w:rsid w:val="00FD4666"/>
    <w:rsid w:val="00FD471F"/>
    <w:rsid w:val="00FD4B80"/>
    <w:rsid w:val="00FD4F92"/>
    <w:rsid w:val="00FD5264"/>
    <w:rsid w:val="00FD5377"/>
    <w:rsid w:val="00FD5A69"/>
    <w:rsid w:val="00FD6699"/>
    <w:rsid w:val="00FD71F3"/>
    <w:rsid w:val="00FE03C1"/>
    <w:rsid w:val="00FE04C9"/>
    <w:rsid w:val="00FE05C6"/>
    <w:rsid w:val="00FE0E16"/>
    <w:rsid w:val="00FE0E82"/>
    <w:rsid w:val="00FE1461"/>
    <w:rsid w:val="00FE2238"/>
    <w:rsid w:val="00FE225B"/>
    <w:rsid w:val="00FE23C2"/>
    <w:rsid w:val="00FE2457"/>
    <w:rsid w:val="00FE3423"/>
    <w:rsid w:val="00FE4B7D"/>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3119"/>
    <w:rsid w:val="00FF3671"/>
    <w:rsid w:val="00FF4BA9"/>
    <w:rsid w:val="00FF4F02"/>
    <w:rsid w:val="00FF4FF5"/>
    <w:rsid w:val="00FF5333"/>
    <w:rsid w:val="00FF5A5B"/>
    <w:rsid w:val="00FF5BB1"/>
    <w:rsid w:val="00FF622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61EDA9E5-C443-4837-ACA7-DA5A746B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2006/documentManagement/types"/>
    <ds:schemaRef ds:uri="2f282d3b-eb4a-4b09-b61f-b9593442e286"/>
    <ds:schemaRef ds:uri="http://www.w3.org/XML/1998/namespace"/>
    <ds:schemaRef ds:uri="http://purl.org/dc/elements/1.1/"/>
    <ds:schemaRef ds:uri="9b239327-9e80-40e4-b1b7-4394fed77a33"/>
    <ds:schemaRef ds:uri="d8762117-8292-4133-b1c7-eab5c6487cfd"/>
    <ds:schemaRef ds:uri="http://schemas.openxmlformats.org/package/2006/metadata/core-properties"/>
    <ds:schemaRef ds:uri="http://schemas.microsoft.com/sharepoint/v3"/>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4</Pages>
  <Words>1798</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13</cp:revision>
  <cp:lastPrinted>2021-10-12T10:12:00Z</cp:lastPrinted>
  <dcterms:created xsi:type="dcterms:W3CDTF">2022-09-30T16:16:00Z</dcterms:created>
  <dcterms:modified xsi:type="dcterms:W3CDTF">2022-09-30T16:28:00Z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